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4FF937" w14:textId="6BFD8C23" w:rsidR="00214D5D" w:rsidRPr="00866FED" w:rsidRDefault="00214D5D" w:rsidP="00A81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Rijeka,</w:t>
      </w:r>
      <w:r w:rsidR="0003114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2</w:t>
      </w:r>
      <w:r w:rsidR="008C417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5</w:t>
      </w:r>
      <w:r w:rsidR="0003114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.03.</w:t>
      </w:r>
      <w:r w:rsidR="00C56E0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2025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</w:p>
    <w:p w14:paraId="62B87736" w14:textId="77777777" w:rsidR="001E4E56" w:rsidRPr="00866FED" w:rsidRDefault="001E4E56" w:rsidP="00A81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03FEA589" w14:textId="2C8CF164" w:rsidR="00214D5D" w:rsidRPr="00866FED" w:rsidRDefault="00214D5D" w:rsidP="00A81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Br. : </w:t>
      </w:r>
      <w:r w:rsidR="00C56E0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</w:t>
      </w:r>
      <w:r w:rsidR="008C417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223</w:t>
      </w:r>
      <w:r w:rsidR="003562B5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03114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/ </w:t>
      </w:r>
      <w:r w:rsidR="00143529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202</w:t>
      </w:r>
      <w:r w:rsidR="00C56E0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5</w:t>
      </w:r>
    </w:p>
    <w:p w14:paraId="0682508E" w14:textId="77777777" w:rsidR="00214D5D" w:rsidRPr="00866FED" w:rsidRDefault="00214D5D" w:rsidP="00A81E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2FF88DBE" w14:textId="77777777" w:rsidR="00D77CDF" w:rsidRPr="00866FED" w:rsidRDefault="00D77CDF" w:rsidP="00A81E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505974A4" w14:textId="2DCD1AA3" w:rsidR="008C417E" w:rsidRDefault="008C417E" w:rsidP="008C4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IZVJEŠTAJ O GODIŠNJEM  IZVRŠENJU  FINANCIJSKOG PLANA</w:t>
      </w:r>
    </w:p>
    <w:p w14:paraId="3295899D" w14:textId="3083A772" w:rsidR="008C417E" w:rsidRDefault="008C417E" w:rsidP="008C4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GRADSKE KNJIŽNICE RIJEKA</w:t>
      </w:r>
    </w:p>
    <w:p w14:paraId="0E894AD6" w14:textId="45BB9E26" w:rsidR="00A81EC8" w:rsidRPr="00866FED" w:rsidRDefault="008C417E" w:rsidP="008C417E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ZA RAZDOBLJE 1.SIJEČANJ - 31.PROSINAC 2024.G.</w:t>
      </w:r>
    </w:p>
    <w:p w14:paraId="4408A08D" w14:textId="77777777" w:rsidR="00A81EC8" w:rsidRPr="00866FED" w:rsidRDefault="00A81EC8" w:rsidP="00A81E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68AEA12C" w14:textId="4EA28F4B" w:rsidR="00A81EC8" w:rsidRPr="00866FED" w:rsidRDefault="00214D5D" w:rsidP="00A81E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Obrazloženje </w:t>
      </w:r>
    </w:p>
    <w:p w14:paraId="7841C1BB" w14:textId="77777777" w:rsidR="00214D5D" w:rsidRPr="00866FED" w:rsidRDefault="00214D5D" w:rsidP="00A81E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0E6A0EF9" w14:textId="77777777" w:rsidR="00A81EC8" w:rsidRPr="00866FED" w:rsidRDefault="00A81EC8" w:rsidP="00A81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Opis i cilj programa:</w:t>
      </w:r>
    </w:p>
    <w:p w14:paraId="15CD0ED9" w14:textId="77777777" w:rsidR="00A81EC8" w:rsidRPr="00866FED" w:rsidRDefault="00A81EC8" w:rsidP="00A81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 </w:t>
      </w:r>
    </w:p>
    <w:p w14:paraId="76BF4AA2" w14:textId="77777777" w:rsidR="00A81EC8" w:rsidRPr="00866FED" w:rsidRDefault="00A81EC8" w:rsidP="00A81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 skladu sa Statutom, djelatnost Knjižnice je: nabava, stručna obrada, čuvanje i zaštita knjižnične građe, zaštita knjižnične građe koja je kulturno dobro, izrada i objavljivanje biltena, kataloga, bibliografija i drugih informacijskih pomagala, sudjelovanje u izradi skupnih kataloga i baza podataka, omogućavanje pristupačnosti knjižnične građe i informacija korisnicima prema njihovim potrebama i zahtjevima, osiguravanje korištenja i posudbe knjižnične građe te protok informacija, poticanje i pomoć korisnicima Knjižnice pri izboru i korištenju knjižnične građe, informacijskih pomagala i izvora, vođenje dokumentacije o građi i korisnicima, obavljanje poslova matične djelatnosti za školske i narodne knjižnice na području Primorsko-goranske županije.</w:t>
      </w:r>
    </w:p>
    <w:p w14:paraId="239F24B6" w14:textId="77777777" w:rsidR="00A81EC8" w:rsidRPr="00866FED" w:rsidRDefault="00A81EC8" w:rsidP="00A81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 </w:t>
      </w:r>
    </w:p>
    <w:p w14:paraId="7498E805" w14:textId="2909F3DD" w:rsidR="00F75A72" w:rsidRPr="00866FED" w:rsidRDefault="00A81EC8" w:rsidP="00A81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Cilj programa je zadovoljenje kulturnih potreba stanovnika grada Rijeke, uz povećanje standarda usluge na području knjižnične djelatnosti.</w:t>
      </w:r>
    </w:p>
    <w:p w14:paraId="25F8A714" w14:textId="77777777" w:rsidR="00167567" w:rsidRPr="00866FED" w:rsidRDefault="00167567" w:rsidP="00CB1D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4313B992" w14:textId="77777777" w:rsidR="00167567" w:rsidRPr="00866FED" w:rsidRDefault="00167567" w:rsidP="00CB1D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6122C945" w14:textId="77777777" w:rsidR="00167567" w:rsidRPr="00866FED" w:rsidRDefault="00167567" w:rsidP="00CB1DA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134C9210" w14:textId="77777777" w:rsidR="00D74255" w:rsidRPr="00866FED" w:rsidRDefault="00167567" w:rsidP="001675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ZAKONSKA OSNOVA ZA UVOĐENJE PROGRAMA</w:t>
      </w:r>
    </w:p>
    <w:p w14:paraId="1DEE9D47" w14:textId="37E4B873" w:rsidR="00167567" w:rsidRPr="00142C7F" w:rsidRDefault="00D74255" w:rsidP="001675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-</w:t>
      </w:r>
      <w:r w:rsidR="0016756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Zakon o knjižnicama i knjižničnoj djelatnosti („Narodne novine“ broj 17/19, 98/19</w:t>
      </w:r>
      <w:r w:rsidR="00142C7F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</w:t>
      </w:r>
      <w:r w:rsidR="0016756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114/22 i</w:t>
      </w:r>
      <w:r w:rsidR="00142C7F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16756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36/24)</w:t>
      </w:r>
    </w:p>
    <w:p w14:paraId="66147279" w14:textId="3E76FD7B" w:rsidR="00167567" w:rsidRPr="00866FED" w:rsidRDefault="00D74255" w:rsidP="001675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- </w:t>
      </w:r>
      <w:r w:rsidR="0016756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Zakon o ustanovama („Narodne novine“ broj 76/93, 29/97, 47/99, 35/08, 127/19 i 151/22)</w:t>
      </w:r>
    </w:p>
    <w:p w14:paraId="39788950" w14:textId="7C77D788" w:rsidR="00167567" w:rsidRPr="00866FED" w:rsidRDefault="00D74255" w:rsidP="001675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- </w:t>
      </w:r>
      <w:r w:rsidR="0016756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Zakon o kulturnim vijećima i financiranju javnih potreba u kulturi („Narodne novine“ broj 83/22),</w:t>
      </w:r>
    </w:p>
    <w:p w14:paraId="0DE23702" w14:textId="723ECDAE" w:rsidR="00A81EC8" w:rsidRPr="00866FED" w:rsidRDefault="00D74255" w:rsidP="0016756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- </w:t>
      </w:r>
      <w:r w:rsidR="0016756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Zaključci i odluke Gradonačelnika Grada Rijeke i Gradskog vijeća Grada Rijeke.</w:t>
      </w:r>
      <w:r w:rsidR="00A81EC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 </w:t>
      </w:r>
    </w:p>
    <w:p w14:paraId="44872132" w14:textId="77777777" w:rsidR="00D74255" w:rsidRPr="00866FED" w:rsidRDefault="00D74255" w:rsidP="00A81E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37CBF3DE" w14:textId="6E657003" w:rsidR="00725EAC" w:rsidRPr="00866FED" w:rsidRDefault="00214D5D" w:rsidP="00A81E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SADRŽAJ : </w:t>
      </w:r>
    </w:p>
    <w:p w14:paraId="2E5983D4" w14:textId="77777777" w:rsidR="00214D5D" w:rsidRPr="00866FED" w:rsidRDefault="00214D5D" w:rsidP="00A81E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24B46CBB" w14:textId="776DB730" w:rsidR="00725EAC" w:rsidRPr="00866FED" w:rsidRDefault="00B216B8" w:rsidP="00725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G</w:t>
      </w:r>
      <w:r w:rsidR="00725EA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odišnji izvještaj o izvršenju financijskog plana ustanove sadrži : opći dio izvještaja, posebni dio izvještaja , obrazloženje i posebne izvještaje. Opći i posebni dio izvještaja prezentirani su u pratećim </w:t>
      </w:r>
      <w:r w:rsidR="00142C7F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oglednim tablicama </w:t>
      </w:r>
      <w:r w:rsidR="00725EA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: SAŽETAK, RAČUN PRIHODA I RASHODA,</w:t>
      </w:r>
      <w:r w:rsidR="00725EAC" w:rsidRPr="00866FED">
        <w:rPr>
          <w:rFonts w:ascii="Arial" w:hAnsi="Arial" w:cs="Arial"/>
          <w:sz w:val="24"/>
          <w:szCs w:val="24"/>
        </w:rPr>
        <w:t xml:space="preserve"> </w:t>
      </w:r>
      <w:r w:rsidR="00725EA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RASHODI I PRIHODI PREMA IZVORU, RASHODI PREMA FUNKCIJSKOJ KLASIFIKACIJI , RAČUN FINANCIRANJA, RAČUN FINANCIRANJA PREMA IZVORIMA FINANCIRANJA I PROGRAMSKA KLASIFIKACIJA .</w:t>
      </w:r>
    </w:p>
    <w:p w14:paraId="6952CAF0" w14:textId="77777777" w:rsidR="00214D5D" w:rsidRPr="00866FED" w:rsidRDefault="00214D5D" w:rsidP="00214D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7C812CE3" w14:textId="33B01438" w:rsidR="00214D5D" w:rsidRDefault="0008696C" w:rsidP="00214D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POSEBNI IZVJEŠTAJI </w:t>
      </w:r>
      <w:r w:rsidR="00142C7F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 Oglednim tablicama go</w:t>
      </w:r>
      <w:r w:rsidR="00214D5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dišnje</w:t>
      </w:r>
      <w:r w:rsidR="00142C7F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g</w:t>
      </w:r>
      <w:r w:rsidR="00214D5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izvještaj</w:t>
      </w:r>
      <w:r w:rsidR="00142C7F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214D5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 izvršenju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su</w:t>
      </w:r>
      <w:r w:rsidR="00214D5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IZVJEŠTAJ O KORIŠTENJU EU SREDSTAVA, IZVJEŠTAJ O ZADUŽIVANJU NA DOMAĆEM I STRANOM TRŽIŠTU NOVCA I KAPITALA </w:t>
      </w:r>
      <w:r w:rsidR="00214D5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koji sadrži pregled zaduživanja po dugoročnim kreditima, zajmovima koje je ugovorio ili preuzeo </w:t>
      </w:r>
      <w:r w:rsidR="00214D5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lastRenderedPageBreak/>
        <w:t>proračunski korisnik u izvještajnom razdoblju prema vrsti instrumenta, valutnoj, kamatnoj i ročnoj strukturi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IZVJEŠTAJ O DANIM ZAJMOVIMA I POTRAŽIVANJIMA PO DANIM ZAJMOVIMA </w:t>
      </w:r>
      <w:r w:rsidR="008C417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</w:t>
      </w:r>
    </w:p>
    <w:p w14:paraId="217E0C17" w14:textId="4BC193EC" w:rsidR="008C417E" w:rsidRPr="00866FED" w:rsidRDefault="00142C7F" w:rsidP="00214D5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Obrazac 3 - </w:t>
      </w:r>
      <w:r w:rsidR="008C417E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Podaci o sudskim sporovima, potraživanjima i obvezama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obrasca nalaze se u posljednjem dijelu Obrazloženja. </w:t>
      </w:r>
    </w:p>
    <w:p w14:paraId="4F9C6C56" w14:textId="77777777" w:rsidR="00725EAC" w:rsidRPr="00866FED" w:rsidRDefault="00725EAC" w:rsidP="00725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2657AA2C" w14:textId="18E4010C" w:rsidR="00CB1DA9" w:rsidRPr="00866FED" w:rsidRDefault="00725EAC" w:rsidP="00725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Obrazloženje</w:t>
      </w:r>
      <w:r w:rsidR="00B216B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godišnjeg izvršenja financijskog plana proračunskog korisnika – Gradska knjižnice Rijeka sastoji se od obrazloženja općeg dijela – Računa prihoda i rashoda . Komentira se ostvarenje prihoda i primitaka, rashoda i izdataka u izvještajnom razdoblju. Obrazloženje sadrži i </w:t>
      </w:r>
      <w:r w:rsidR="00CB1DA9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podatke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 prenesenom višku</w:t>
      </w:r>
      <w:r w:rsidR="00CB1DA9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/manjku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CB1DA9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 višku/manjku za prijenos u iduće razdoblje.</w:t>
      </w:r>
    </w:p>
    <w:p w14:paraId="4ED4EDC3" w14:textId="77777777" w:rsidR="00A81EC8" w:rsidRPr="00866FED" w:rsidRDefault="00A81EC8" w:rsidP="00725EAC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7D67D0FF" w14:textId="77777777" w:rsidR="00C32BC4" w:rsidRPr="00866FED" w:rsidRDefault="00C32BC4" w:rsidP="00725E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5E7AA4AB" w14:textId="2FB993CC" w:rsidR="00725EAC" w:rsidRPr="00866FED" w:rsidRDefault="00725EAC" w:rsidP="00725EA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Opći dio </w:t>
      </w:r>
    </w:p>
    <w:p w14:paraId="7A59B4D1" w14:textId="77777777" w:rsidR="00725EAC" w:rsidRPr="00866FED" w:rsidRDefault="00725EAC" w:rsidP="00A81E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59B2248F" w14:textId="324FF1FA" w:rsidR="00A81EC8" w:rsidRPr="00866FED" w:rsidRDefault="00A81EC8" w:rsidP="00A81E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RAČUN PRIHODA I RASHODA </w:t>
      </w:r>
    </w:p>
    <w:p w14:paraId="37E042BD" w14:textId="57DE47C7" w:rsidR="00A81EC8" w:rsidRPr="00866FED" w:rsidRDefault="00A81EC8" w:rsidP="00A81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Tekućim planom za 202</w:t>
      </w:r>
      <w:r w:rsidR="000A289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4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godinu za potrebe izvršavanja aktivnosti sadržanih u aktivnostima i programima Gradske knjižnice Rijeka planirano je ukupno </w:t>
      </w:r>
      <w:r w:rsidR="00A8526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2.614.865</w:t>
      </w:r>
      <w:r w:rsidR="00124E6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eur</w:t>
      </w:r>
      <w:r w:rsidR="00A8526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prihoda i </w:t>
      </w:r>
      <w:r w:rsidR="00124E6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2.</w:t>
      </w:r>
      <w:r w:rsidR="00A8526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718.514</w:t>
      </w:r>
      <w:r w:rsidR="00124E6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eur</w:t>
      </w:r>
      <w:r w:rsidR="00A8526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rashoda. </w:t>
      </w:r>
      <w:r w:rsidR="00D626E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14:paraId="316D0DB3" w14:textId="77777777" w:rsidR="00A81EC8" w:rsidRPr="00866FED" w:rsidRDefault="00A81EC8" w:rsidP="00A81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3FB358FB" w14:textId="6458117C" w:rsidR="00A81EC8" w:rsidRPr="00866FED" w:rsidRDefault="00A81EC8" w:rsidP="00A81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Zbog uravnoteženja proračuna u planirane godišnje prihode je uključeno  </w:t>
      </w:r>
      <w:r w:rsidR="00A8526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101.649</w:t>
      </w:r>
      <w:r w:rsidR="00124E6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eur</w:t>
      </w:r>
      <w:r w:rsidR="00A8526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viška  prema </w:t>
      </w:r>
      <w:r w:rsidR="00124E6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rezultat</w:t>
      </w:r>
      <w:r w:rsidR="00C32BC4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="00124E6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poslovanja </w:t>
      </w:r>
      <w:r w:rsidR="00C32BC4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2023.g. </w:t>
      </w:r>
      <w:r w:rsidR="00124E6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</w:t>
      </w:r>
    </w:p>
    <w:p w14:paraId="5E695D90" w14:textId="77777777" w:rsidR="00A81EC8" w:rsidRPr="00866FED" w:rsidRDefault="00A81EC8" w:rsidP="00A81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0B3748FD" w14:textId="32589284" w:rsidR="00A81EC8" w:rsidRPr="00866FED" w:rsidRDefault="00A81EC8" w:rsidP="00A81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 razdoblje od prvog siječnja do trideset</w:t>
      </w:r>
      <w:r w:rsidR="0016756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</w:t>
      </w:r>
      <w:r w:rsidR="00B216B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prvog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216B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prosinca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ostvareno je </w:t>
      </w:r>
      <w:r w:rsidR="00B216B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2.598.338,59</w:t>
      </w:r>
      <w:r w:rsidR="00A8526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eura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prihoda </w:t>
      </w:r>
      <w:r w:rsidR="008B54D0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(</w:t>
      </w:r>
      <w:r w:rsidR="00B216B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87</w:t>
      </w:r>
      <w:r w:rsidR="00A8526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,7</w:t>
      </w:r>
      <w:r w:rsidR="00B216B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</w:t>
      </w:r>
      <w:r w:rsidR="008B54D0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%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od planiranog </w:t>
      </w:r>
      <w:r w:rsidR="008B54D0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)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</w:t>
      </w:r>
      <w:r w:rsidR="00B216B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2.675.473,09</w:t>
      </w:r>
      <w:r w:rsidR="00A8526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8B54D0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eur</w:t>
      </w:r>
      <w:r w:rsidR="00A8526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rashoda  ( </w:t>
      </w:r>
      <w:r w:rsidR="00B216B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9</w:t>
      </w:r>
      <w:r w:rsidR="00A8526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0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</w:t>
      </w:r>
      <w:r w:rsidR="00A8526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31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% od planiranog ) .</w:t>
      </w:r>
    </w:p>
    <w:p w14:paraId="62F7C60F" w14:textId="77777777" w:rsidR="00A81EC8" w:rsidRPr="00866FED" w:rsidRDefault="00A81EC8" w:rsidP="00A81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56761779" w14:textId="21D49EB7" w:rsidR="00A81EC8" w:rsidRPr="00866FED" w:rsidRDefault="00A81EC8" w:rsidP="00A81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Ostvaren je </w:t>
      </w:r>
      <w:r w:rsidR="0016756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manjak prihoda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16756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razdoblj</w:t>
      </w:r>
      <w:r w:rsidR="004A7C4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a i iznosi </w:t>
      </w:r>
      <w:r w:rsidR="0016756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77.134,50 eura.</w:t>
      </w:r>
    </w:p>
    <w:p w14:paraId="4994BFD1" w14:textId="77777777" w:rsidR="00A81EC8" w:rsidRPr="00866FED" w:rsidRDefault="00A81EC8" w:rsidP="00A81E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6A8F8060" w14:textId="77777777" w:rsidR="00A81EC8" w:rsidRPr="00866FED" w:rsidRDefault="00A81EC8" w:rsidP="00A81EC8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1E3CDFB5" w14:textId="257F7C3E" w:rsidR="00A81EC8" w:rsidRPr="00866FED" w:rsidRDefault="00A81EC8" w:rsidP="00A81EC8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RAČUN PRIHODA PREMA IZVORIMA FINANCIRANJA I EKONOMSKOJ KLASIFIKACIJI </w:t>
      </w:r>
    </w:p>
    <w:p w14:paraId="205EEDC2" w14:textId="77777777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03D731DF" w14:textId="3CA17AB1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POMOĆI</w:t>
      </w:r>
      <w:r w:rsidR="00CB1DA9"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 - Izvor 57</w:t>
      </w:r>
    </w:p>
    <w:p w14:paraId="2A694A82" w14:textId="77777777" w:rsidR="00CB1DA9" w:rsidRPr="00866FED" w:rsidRDefault="00CB1DA9" w:rsidP="00A81E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71A0E27E" w14:textId="5E1181EC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6311- Pomoći od inozemnih vlada</w:t>
      </w:r>
      <w:r w:rsidR="008B54D0"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-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U ovom razdoblju </w:t>
      </w:r>
      <w:r w:rsidR="008B54D0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ostvaren</w:t>
      </w:r>
      <w:r w:rsidR="00B216B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</w:t>
      </w:r>
      <w:r w:rsidR="008B54D0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je </w:t>
      </w:r>
      <w:r w:rsidR="00F75A72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</w:t>
      </w:r>
      <w:r w:rsidR="00B216B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10,81</w:t>
      </w:r>
      <w:r w:rsidR="00F75A72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%</w:t>
      </w:r>
      <w:r w:rsidR="008B54D0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F75A72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planiranih prihoda</w:t>
      </w:r>
      <w:r w:rsidR="008B54D0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iz ovog izvora zbog </w:t>
      </w:r>
      <w:r w:rsidR="00F75A72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doznake sredstava za </w:t>
      </w:r>
      <w:r w:rsidR="008B54D0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financiranja Američkog kutka od </w:t>
      </w:r>
      <w:r w:rsidR="00B216B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24.381,14</w:t>
      </w:r>
      <w:r w:rsidR="008B54D0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eur</w:t>
      </w:r>
      <w:r w:rsidR="004A7C4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8B54D0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545F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</w:t>
      </w:r>
    </w:p>
    <w:p w14:paraId="294C7895" w14:textId="77777777" w:rsidR="00545F5E" w:rsidRPr="00866FED" w:rsidRDefault="00545F5E" w:rsidP="00A81E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14C320E3" w14:textId="034736E4" w:rsidR="00545F5E" w:rsidRPr="00866FED" w:rsidRDefault="00545F5E" w:rsidP="00545F5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6312- Kapitalne pomoći od inozemnih vlada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- </w:t>
      </w:r>
      <w:r w:rsidR="00F75A72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U ovom razdoblju ostvaren je </w:t>
      </w:r>
      <w:r w:rsidR="00B216B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65,42</w:t>
      </w:r>
      <w:r w:rsidR="00F75A72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% planiranih prihoda iz ovog izvora zbog doznake sredstava za financiranja Američkog kutka od </w:t>
      </w:r>
      <w:r w:rsidR="00B216B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4.501,26</w:t>
      </w:r>
      <w:r w:rsidR="00F75A72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eur</w:t>
      </w:r>
      <w:r w:rsidR="004A7C4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</w:p>
    <w:p w14:paraId="5D8A165A" w14:textId="77777777" w:rsidR="00545F5E" w:rsidRPr="00866FED" w:rsidRDefault="00545F5E" w:rsidP="00545F5E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4ABBBA40" w14:textId="2D4511F8" w:rsidR="00A81EC8" w:rsidRPr="00866FED" w:rsidRDefault="00545F5E" w:rsidP="00A81EC8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636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- </w:t>
      </w:r>
      <w:r w:rsidR="00A81EC8"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Pomoći proračunskim korisnicima iz proračuna koji im nije nadležan</w:t>
      </w:r>
      <w:r w:rsidR="00A81EC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– čine ih tekuće i kapitalne pomoći  iz državnog proračuna i proračuna JLPRS</w:t>
      </w:r>
      <w:r w:rsidR="00B56746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, ostvareno je 64,49% godišnjih planiranih prihoda. </w:t>
      </w:r>
    </w:p>
    <w:p w14:paraId="3A4800BF" w14:textId="3CCF024D" w:rsidR="0086430A" w:rsidRPr="00866FED" w:rsidRDefault="00A81EC8" w:rsidP="00A81EC8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6361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- Ukupne tekuće pomoći iznose </w:t>
      </w:r>
      <w:r w:rsidR="00B216B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261.213,96</w:t>
      </w:r>
      <w:r w:rsidR="00B56746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eura</w:t>
      </w:r>
      <w:r w:rsidR="0086430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, a uplaćene su :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tbl>
      <w:tblPr>
        <w:tblW w:w="8784" w:type="dxa"/>
        <w:tblLook w:val="04A0" w:firstRow="1" w:lastRow="0" w:firstColumn="1" w:lastColumn="0" w:noHBand="0" w:noVBand="1"/>
      </w:tblPr>
      <w:tblGrid>
        <w:gridCol w:w="732"/>
        <w:gridCol w:w="6776"/>
        <w:gridCol w:w="1276"/>
      </w:tblGrid>
      <w:tr w:rsidR="0086430A" w:rsidRPr="00866FED" w14:paraId="1B7870A6" w14:textId="77777777" w:rsidTr="008C4317">
        <w:trPr>
          <w:trHeight w:val="28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2D9A5" w14:textId="77777777" w:rsidR="0086430A" w:rsidRPr="008C4317" w:rsidRDefault="0086430A" w:rsidP="00864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6361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45933" w14:textId="77777777" w:rsidR="0086430A" w:rsidRPr="008C4317" w:rsidRDefault="0086430A" w:rsidP="0086430A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Tekuće pomoći proračunskim korisnicima iz proračuna koji im nije nadležan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EEAD3A" w14:textId="77777777" w:rsidR="0086430A" w:rsidRPr="008C4317" w:rsidRDefault="0086430A" w:rsidP="0086430A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86430A" w:rsidRPr="00866FED" w14:paraId="318BF3DB" w14:textId="77777777" w:rsidTr="008C4317">
        <w:trPr>
          <w:trHeight w:val="2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65D67" w14:textId="77777777" w:rsidR="0086430A" w:rsidRPr="008C4317" w:rsidRDefault="0086430A" w:rsidP="0086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1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BA351A" w14:textId="33099A90" w:rsidR="0086430A" w:rsidRPr="008C4317" w:rsidRDefault="0086430A" w:rsidP="0086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3E383" w14:textId="3DBCF7F3" w:rsidR="0086430A" w:rsidRPr="008C4317" w:rsidRDefault="0086430A" w:rsidP="0086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</w:t>
            </w:r>
          </w:p>
        </w:tc>
      </w:tr>
      <w:tr w:rsidR="0086430A" w:rsidRPr="00866FED" w14:paraId="34CF7884" w14:textId="77777777" w:rsidTr="008C4317">
        <w:trPr>
          <w:trHeight w:val="2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6D52D" w14:textId="77777777" w:rsidR="0086430A" w:rsidRPr="008C4317" w:rsidRDefault="0086430A" w:rsidP="0086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R.br.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CF72A" w14:textId="77777777" w:rsidR="0086430A" w:rsidRPr="008C4317" w:rsidRDefault="0086430A" w:rsidP="0086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Isplatitelj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2DB9A" w14:textId="77777777" w:rsidR="0086430A" w:rsidRPr="008C4317" w:rsidRDefault="0086430A" w:rsidP="0086430A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Iznos</w:t>
            </w:r>
          </w:p>
        </w:tc>
      </w:tr>
      <w:tr w:rsidR="003224A2" w:rsidRPr="00866FED" w14:paraId="14BE19D7" w14:textId="77777777" w:rsidTr="008C4317">
        <w:trPr>
          <w:trHeight w:val="2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F2411" w14:textId="7E37F70D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757EB" w14:textId="58D9913E" w:rsidR="003224A2" w:rsidRPr="008C4317" w:rsidRDefault="003224A2" w:rsidP="00322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MINISTARSTVO KULTURE REPUBLIKE HRVATSKE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64D7F9" w14:textId="51A4DD2F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73.754,10</w:t>
            </w:r>
          </w:p>
        </w:tc>
      </w:tr>
      <w:tr w:rsidR="003224A2" w:rsidRPr="00866FED" w14:paraId="27DE71E2" w14:textId="77777777" w:rsidTr="008C4317">
        <w:trPr>
          <w:trHeight w:val="2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2114A" w14:textId="1A3557AC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8E3476" w14:textId="1006A776" w:rsidR="003224A2" w:rsidRPr="008C4317" w:rsidRDefault="003224A2" w:rsidP="00322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PRIMORSKO-GORANSKA ŽUPANIJA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7F7CAB" w14:textId="0DFA68BE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76.800,00</w:t>
            </w:r>
          </w:p>
        </w:tc>
      </w:tr>
      <w:tr w:rsidR="003224A2" w:rsidRPr="00866FED" w14:paraId="0E442FA5" w14:textId="77777777" w:rsidTr="008C4317">
        <w:trPr>
          <w:trHeight w:val="2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C3A2B3" w14:textId="04431839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457E53" w14:textId="605172AB" w:rsidR="003224A2" w:rsidRPr="008C4317" w:rsidRDefault="003224A2" w:rsidP="00322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OPĆINA ČAVLE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C1310" w14:textId="0231CD03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41.109,94</w:t>
            </w:r>
          </w:p>
        </w:tc>
      </w:tr>
      <w:tr w:rsidR="003224A2" w:rsidRPr="00866FED" w14:paraId="20965286" w14:textId="77777777" w:rsidTr="008C4317">
        <w:trPr>
          <w:trHeight w:val="2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496E5" w14:textId="50CA08D4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7DB3BF" w14:textId="26EF61C9" w:rsidR="003224A2" w:rsidRPr="008C4317" w:rsidRDefault="003224A2" w:rsidP="00322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OPĆINA MATULJI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57717" w14:textId="04AE9BAB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2.919,90</w:t>
            </w:r>
          </w:p>
        </w:tc>
      </w:tr>
      <w:tr w:rsidR="003224A2" w:rsidRPr="00866FED" w14:paraId="472E601D" w14:textId="77777777" w:rsidTr="008C4317">
        <w:trPr>
          <w:trHeight w:val="2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E895C1" w14:textId="63DFCE21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5D400" w14:textId="70E3E206" w:rsidR="003224A2" w:rsidRPr="008C4317" w:rsidRDefault="003224A2" w:rsidP="00322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OPĆINA RAVNA GORA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62B108" w14:textId="7C9152AD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2.389,01</w:t>
            </w:r>
          </w:p>
        </w:tc>
      </w:tr>
      <w:tr w:rsidR="003224A2" w:rsidRPr="00866FED" w14:paraId="160EEF00" w14:textId="77777777" w:rsidTr="008C4317">
        <w:trPr>
          <w:trHeight w:val="2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1B11" w14:textId="02861C2F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5D2F8C" w14:textId="4196B39B" w:rsidR="003224A2" w:rsidRPr="008C4317" w:rsidRDefault="003224A2" w:rsidP="00322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OPĆINA VINODOLSKA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F5D590" w14:textId="1DD6728D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1.990,84</w:t>
            </w:r>
          </w:p>
        </w:tc>
      </w:tr>
      <w:tr w:rsidR="003224A2" w:rsidRPr="00866FED" w14:paraId="3929AA70" w14:textId="77777777" w:rsidTr="008C4317">
        <w:trPr>
          <w:trHeight w:val="2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385E0" w14:textId="4D10C10E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C906" w14:textId="09792E64" w:rsidR="003224A2" w:rsidRPr="008C4317" w:rsidRDefault="003224A2" w:rsidP="00322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GRAD DELNICE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23E589" w14:textId="49BC9C98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1.990,84</w:t>
            </w:r>
          </w:p>
        </w:tc>
      </w:tr>
      <w:tr w:rsidR="003224A2" w:rsidRPr="00866FED" w14:paraId="028D4B67" w14:textId="77777777" w:rsidTr="008C4317">
        <w:trPr>
          <w:trHeight w:val="2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C5339" w14:textId="489F1054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15E97" w14:textId="1E806B2A" w:rsidR="003224A2" w:rsidRPr="008C4317" w:rsidRDefault="003224A2" w:rsidP="00322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OPĆINA LOKVE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E69921" w14:textId="59CFC462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2.663,62</w:t>
            </w:r>
          </w:p>
        </w:tc>
      </w:tr>
      <w:tr w:rsidR="003224A2" w:rsidRPr="00866FED" w14:paraId="17F74B13" w14:textId="77777777" w:rsidTr="008C4317">
        <w:trPr>
          <w:trHeight w:val="2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25BAE" w14:textId="2D5DB454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3CA99" w14:textId="5143862E" w:rsidR="003224A2" w:rsidRPr="008C4317" w:rsidRDefault="003224A2" w:rsidP="00322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OPĆINA FUŽINE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103CBF" w14:textId="0265A409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2.389,01</w:t>
            </w:r>
          </w:p>
        </w:tc>
      </w:tr>
      <w:tr w:rsidR="003224A2" w:rsidRPr="00866FED" w14:paraId="674FC7D4" w14:textId="77777777" w:rsidTr="008C4317">
        <w:trPr>
          <w:trHeight w:val="2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07C9A9" w14:textId="4CB9D363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FFCE3" w14:textId="6EE16BFA" w:rsidR="003224A2" w:rsidRPr="008C4317" w:rsidRDefault="003224A2" w:rsidP="00322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OPĆINA BAŠKA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25558C" w14:textId="460C83C3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2.389,01</w:t>
            </w:r>
          </w:p>
        </w:tc>
      </w:tr>
      <w:tr w:rsidR="003224A2" w:rsidRPr="00866FED" w14:paraId="26712201" w14:textId="77777777" w:rsidTr="008C4317">
        <w:trPr>
          <w:trHeight w:val="2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20666" w14:textId="325A61BD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AC76F6" w14:textId="32B538C6" w:rsidR="003224A2" w:rsidRPr="008C4317" w:rsidRDefault="003224A2" w:rsidP="00322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OPĆINA MRKOPALJ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5C713D" w14:textId="2B1E4A33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1.327,23</w:t>
            </w:r>
          </w:p>
        </w:tc>
      </w:tr>
      <w:tr w:rsidR="003224A2" w:rsidRPr="00866FED" w14:paraId="50ED900E" w14:textId="77777777" w:rsidTr="008C4317">
        <w:trPr>
          <w:trHeight w:val="2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248F8" w14:textId="656C38B4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62C4E" w14:textId="349920CB" w:rsidR="003224A2" w:rsidRPr="008C4317" w:rsidRDefault="003224A2" w:rsidP="00322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OPĆINA JELENJE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7EA0D9" w14:textId="1B1C6965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1.327,23</w:t>
            </w:r>
          </w:p>
        </w:tc>
      </w:tr>
      <w:tr w:rsidR="003224A2" w:rsidRPr="00866FED" w14:paraId="10BF6AEF" w14:textId="77777777" w:rsidTr="008C4317">
        <w:trPr>
          <w:trHeight w:val="2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C403A" w14:textId="33F4C22F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8D46E" w14:textId="21D046DF" w:rsidR="003224A2" w:rsidRPr="008C4317" w:rsidRDefault="003224A2" w:rsidP="00322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OPĆINA BROD MORAVICE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A2DE4" w14:textId="60524902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663,62</w:t>
            </w:r>
          </w:p>
        </w:tc>
      </w:tr>
      <w:tr w:rsidR="003224A2" w:rsidRPr="00866FED" w14:paraId="2942F2D0" w14:textId="77777777" w:rsidTr="008C4317">
        <w:trPr>
          <w:trHeight w:val="2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1121" w14:textId="4FC7B8E7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14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FFA8E" w14:textId="3C0D5454" w:rsidR="003224A2" w:rsidRPr="008C4317" w:rsidRDefault="003224A2" w:rsidP="00322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OPĆINA SKRAD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7BCBB6" w14:textId="6668EF42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1.106,03</w:t>
            </w:r>
          </w:p>
        </w:tc>
      </w:tr>
      <w:tr w:rsidR="003224A2" w:rsidRPr="00866FED" w14:paraId="25025E0A" w14:textId="77777777" w:rsidTr="008C4317">
        <w:trPr>
          <w:trHeight w:val="288"/>
        </w:trPr>
        <w:tc>
          <w:tcPr>
            <w:tcW w:w="7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504F1B" w14:textId="62AFA186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7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779ED" w14:textId="06D476C3" w:rsidR="003224A2" w:rsidRPr="008C4317" w:rsidRDefault="003224A2" w:rsidP="003224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OPĆINA OMIŠALJ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0D5F01" w14:textId="1FDCCB97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46.004,57</w:t>
            </w:r>
          </w:p>
        </w:tc>
      </w:tr>
      <w:tr w:rsidR="003224A2" w:rsidRPr="00866FED" w14:paraId="73547C9D" w14:textId="77777777" w:rsidTr="008C4317">
        <w:trPr>
          <w:trHeight w:val="28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7603E8" w14:textId="35A93B9D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08DC9" w14:textId="74501ED7" w:rsidR="003224A2" w:rsidRPr="008C4317" w:rsidRDefault="003224A2" w:rsidP="003224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OPĆINA MALINSKA DUBAŠNICA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CC1BD5" w14:textId="07D2FD44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hr-HR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2.389,01</w:t>
            </w:r>
          </w:p>
        </w:tc>
      </w:tr>
      <w:tr w:rsidR="003224A2" w:rsidRPr="00866FED" w14:paraId="50163637" w14:textId="77777777" w:rsidTr="008C4317">
        <w:trPr>
          <w:trHeight w:val="288"/>
        </w:trPr>
        <w:tc>
          <w:tcPr>
            <w:tcW w:w="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7E4361" w14:textId="77777777" w:rsidR="003224A2" w:rsidRPr="008C4317" w:rsidRDefault="003224A2" w:rsidP="003224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EBB8F4" w14:textId="599E709C" w:rsidR="003224A2" w:rsidRPr="008C4317" w:rsidRDefault="003224A2" w:rsidP="003224A2">
            <w:pPr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UKUPNO : (92,40%  OD PLANA)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2344E0" w14:textId="2E9710F7" w:rsidR="003224A2" w:rsidRPr="008C4317" w:rsidRDefault="003224A2" w:rsidP="003224A2">
            <w:pPr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C4317">
              <w:rPr>
                <w:rFonts w:ascii="Arial" w:hAnsi="Arial" w:cs="Arial"/>
                <w:color w:val="000000"/>
                <w:sz w:val="20"/>
                <w:szCs w:val="20"/>
              </w:rPr>
              <w:t>261.213,96</w:t>
            </w:r>
          </w:p>
        </w:tc>
      </w:tr>
    </w:tbl>
    <w:p w14:paraId="57DA92D8" w14:textId="2313664B" w:rsidR="00B56746" w:rsidRPr="00866FED" w:rsidRDefault="00A81EC8" w:rsidP="00A81EC8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14:paraId="1CA02524" w14:textId="70074638" w:rsidR="00C32BC4" w:rsidRPr="00866FED" w:rsidRDefault="00C32BC4" w:rsidP="00A81EC8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Iz pomoći državnog proračuna financira se pokriće troškova plaća i režija za Županijsku matičnu službu i programe knjižnice . Sredstva PGŽ i općina PGŽ namijenjena su plaćama i režijama za županijski Bibliobus. Sredstva Općina Čavle i Omišalj namijenjena su za </w:t>
      </w:r>
      <w:r w:rsidR="00214D5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pokriće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rashoda plaće zaposlenika u knjižnicama Čavle i Vi</w:t>
      </w:r>
      <w:r w:rsidR="00B333F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Omišljanin i udjelu u zajedničkim troškovima koje ima Gradska knjižnica za redovno poslovanje obiju knjižnica. </w:t>
      </w:r>
    </w:p>
    <w:p w14:paraId="535833A8" w14:textId="42E64092" w:rsidR="00A81EC8" w:rsidRPr="00866FED" w:rsidRDefault="00A81EC8" w:rsidP="00A81EC8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bookmarkStart w:id="0" w:name="_Hlk172871308"/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6362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- Kapitalne pomoći iznose ukupno </w:t>
      </w:r>
      <w:r w:rsidR="00B333F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195.273,80</w:t>
      </w:r>
      <w:r w:rsidR="0086430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eura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1457F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a ostvarene su iz državnog proračuna u iznosu od </w:t>
      </w:r>
      <w:r w:rsidR="00B333F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185.173,80</w:t>
      </w:r>
      <w:r w:rsidR="0086430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1457F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eur</w:t>
      </w:r>
      <w:r w:rsidR="00374AE5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B333F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od općin</w:t>
      </w:r>
      <w:r w:rsidR="00D626E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e Čavle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u iznosu od </w:t>
      </w:r>
      <w:r w:rsidR="00B333F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5.500,00</w:t>
      </w:r>
      <w:r w:rsidR="0086430A" w:rsidRPr="00866FED">
        <w:rPr>
          <w:rFonts w:ascii="Arial" w:hAnsi="Arial" w:cs="Arial"/>
          <w:sz w:val="24"/>
          <w:szCs w:val="24"/>
        </w:rPr>
        <w:t xml:space="preserve">  </w:t>
      </w:r>
      <w:r w:rsidR="00214D5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eura</w:t>
      </w:r>
      <w:r w:rsidR="00B333F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od općine Omišalj 4,600,00 eura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</w:t>
      </w:r>
      <w:r w:rsidR="0086430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Sredstva su namijenjena nabavi knjižne građe</w:t>
      </w:r>
      <w:r w:rsidR="00B333F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</w:p>
    <w:p w14:paraId="79C288B2" w14:textId="77777777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37031E9C" w14:textId="3B703E78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6381-Tekuće pomoći temeljem prijenosa EU sredstva </w:t>
      </w:r>
      <w:r w:rsidR="001457F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ostvareno je </w:t>
      </w:r>
      <w:r w:rsidR="0086430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4.920,00 </w:t>
      </w:r>
      <w:r w:rsidR="001457F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iz Erasmus+ projekta </w:t>
      </w:r>
      <w:r w:rsidR="00C32BC4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Akreditacije</w:t>
      </w:r>
      <w:r w:rsidR="0086430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namijenjenog obrazovanju </w:t>
      </w:r>
      <w:r w:rsidR="00C32BC4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od</w:t>
      </w:r>
      <w:r w:rsidR="0086430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raslih – </w:t>
      </w:r>
      <w:r w:rsidR="00C32BC4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za </w:t>
      </w:r>
      <w:r w:rsidR="0086430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zaposlenik</w:t>
      </w:r>
      <w:r w:rsidR="00C32BC4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</w:t>
      </w:r>
      <w:r w:rsidR="0086430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knjižnice. Uplaćeno je 80% sredstava</w:t>
      </w:r>
      <w:r w:rsidR="00C32BC4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prema ugovoru o Erasmusu+.</w:t>
      </w:r>
    </w:p>
    <w:p w14:paraId="0DBA0996" w14:textId="77777777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350E7AD6" w14:textId="7FCBF0CB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PRIHODI OD FINANCIJSKE IMOVINE</w:t>
      </w:r>
      <w:r w:rsidR="0086430A"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CB1DA9"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– izvor 31</w:t>
      </w:r>
    </w:p>
    <w:p w14:paraId="078B3831" w14:textId="77777777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66AC0CC7" w14:textId="24EA639C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641</w:t>
      </w:r>
      <w:r w:rsidR="0086430A"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-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Prihodi od </w:t>
      </w:r>
      <w:r w:rsidR="0086430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financijske imovine ( od kamata,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pozitivnih tečajnih razlika i razlika zbog primjene valutne klauzule</w:t>
      </w:r>
      <w:r w:rsidR="0086430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)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ostvareni </w:t>
      </w:r>
      <w:r w:rsidR="00B333F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u </w:t>
      </w:r>
      <w:r w:rsidR="00B333F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 iznosu od 0,01eura – kamata po transakcijskom računu Zagrebačke banke .</w:t>
      </w:r>
    </w:p>
    <w:p w14:paraId="3AE1ED53" w14:textId="77777777" w:rsidR="00B333FD" w:rsidRPr="00866FED" w:rsidRDefault="00B333FD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71730AFA" w14:textId="74FE9BA9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OSTALI NESPOMENUTI PRIHODI  </w:t>
      </w:r>
      <w:r w:rsidR="00CB1DA9"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- izvor 44</w:t>
      </w:r>
    </w:p>
    <w:p w14:paraId="65790D1B" w14:textId="77777777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6FF8C169" w14:textId="08065715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6526- Prihodi po posebnim propisima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( članarine</w:t>
      </w:r>
      <w:r w:rsidR="00C32BC4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 sl.) ostvareni su u iznosu od (</w:t>
      </w:r>
      <w:r w:rsidR="00B333F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240.922,09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B333F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eura – 12,06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% u odnosu na </w:t>
      </w:r>
      <w:r w:rsidR="00D626E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godišnji plan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) . </w:t>
      </w:r>
    </w:p>
    <w:p w14:paraId="3520DBF8" w14:textId="77777777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48A398A1" w14:textId="26CE0C79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PRIHODI OD PRODAJE </w:t>
      </w:r>
      <w:r w:rsidR="00CB1DA9"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- izvor 31</w:t>
      </w:r>
    </w:p>
    <w:p w14:paraId="472322AB" w14:textId="77777777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29F5CD38" w14:textId="59978505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6614 - Prihodi od prodaje  proizvoda i robe  </w:t>
      </w:r>
      <w:r w:rsidR="008A6A2C"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su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ostvareni </w:t>
      </w:r>
      <w:r w:rsidR="00B333F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u iznosu od 1.704,00 eura što je 54,91% više od planiranog 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  <w:r w:rsidR="00B333F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Prodaj</w:t>
      </w:r>
      <w:r w:rsidR="003562B5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B333F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je ostvarena od vlastitih izdanja knjiga</w:t>
      </w:r>
      <w:r w:rsidR="00D302EB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predmeta sa logom knjižnice</w:t>
      </w:r>
      <w:r w:rsidR="00B333F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</w:p>
    <w:p w14:paraId="55CEA1AD" w14:textId="77777777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731D5CDC" w14:textId="2115C9B3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6615 - Prihodi od prodaje  usluga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  - ostvareni su u iznosu od </w:t>
      </w:r>
      <w:r w:rsidR="00D302EB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43.277,66</w:t>
      </w:r>
      <w:r w:rsidR="00D626E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eur</w:t>
      </w:r>
      <w:r w:rsidR="00D302EB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za prihode od 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pruženih usluga organizacije rođendana</w:t>
      </w:r>
      <w:r w:rsidR="006F2550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(9.748,30 eura)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stručnih vodstava i obilazaka Dječje kuće</w:t>
      </w:r>
      <w:r w:rsidR="006F2550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(5.698,80 eura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</w:t>
      </w:r>
      <w:r w:rsidR="006F2550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)</w:t>
      </w:r>
      <w:r w:rsidR="00C32BC4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najmova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prostora u novoj zgradi </w:t>
      </w:r>
      <w:r w:rsidR="003562B5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(</w:t>
      </w:r>
      <w:r w:rsidR="006F2550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3.</w:t>
      </w:r>
      <w:r w:rsidR="004609F1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414,75</w:t>
      </w:r>
      <w:r w:rsidR="006F2550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eura), najam prostora za aparat</w:t>
      </w:r>
      <w:r w:rsidR="004609F1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za kavu</w:t>
      </w:r>
      <w:r w:rsidR="006F2550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( 286,21 eura) </w:t>
      </w:r>
      <w:r w:rsidR="00D302EB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, 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najma ugostiteljskog objekta u Dječjoj kući</w:t>
      </w:r>
      <w:r w:rsidR="003562B5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(9.129,60</w:t>
      </w:r>
      <w:r w:rsidR="006F2550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3562B5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eura) 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D302EB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 sponzorskog ugovora za Ljeto u Benčiću</w:t>
      </w:r>
      <w:r w:rsidR="003562B5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( 15.000,00 eura) </w:t>
      </w:r>
      <w:r w:rsidR="00EC375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</w:p>
    <w:p w14:paraId="48805D28" w14:textId="77777777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7F829D78" w14:textId="4E362739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DONACIJE </w:t>
      </w:r>
      <w:r w:rsidR="00CB1DA9"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– izvor 62</w:t>
      </w:r>
    </w:p>
    <w:p w14:paraId="50E011E8" w14:textId="77777777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3F1BE14D" w14:textId="61755471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6631 – Tekuće donacije od pravnih i fizičkih osoba izvan općeg proračuna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EC375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 ovom razdoblju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EC375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je ostvareno 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1.718,12 eura  </w:t>
      </w:r>
      <w:r w:rsidR="00EC375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prihoda 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od tekućih donacija ( Zajednica Skrbi po okončanju projekta)</w:t>
      </w:r>
      <w:r w:rsidR="00EC375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14:paraId="2B9F0FA8" w14:textId="77777777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77322739" w14:textId="0E125C89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6632 - Kapitalne donacije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–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ostvareno 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je </w:t>
      </w:r>
      <w:r w:rsidR="00D302EB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23.830,84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eura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u ovom razdoblju . Radi se o  donacijama  za knjižnu građu </w:t>
      </w:r>
      <w:r w:rsidR="00D302EB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 ostvarenju 9,32% većem od planiranog .</w:t>
      </w:r>
    </w:p>
    <w:p w14:paraId="2374AB3C" w14:textId="77777777" w:rsidR="00D302EB" w:rsidRPr="00866FED" w:rsidRDefault="00D302EB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5A17A13A" w14:textId="5A547A1F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PRIHODI IZ NADLEŽNOG PRORAČUNA</w:t>
      </w:r>
      <w:r w:rsidR="00CB1DA9"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– izvor 11</w:t>
      </w:r>
      <w:r w:rsidR="003562B5"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i izvor 52</w:t>
      </w:r>
    </w:p>
    <w:p w14:paraId="57912116" w14:textId="77777777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75AF1BDC" w14:textId="55C1805B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6711- Prihodi iz nadležnog proračuna za financiranja rashoda poslovanja proračunskog korisnika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ostvareni su  u iznosu od </w:t>
      </w:r>
      <w:r w:rsidR="00D302EB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1.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7</w:t>
      </w:r>
      <w:r w:rsidR="00D302EB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91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  <w:r w:rsidR="00D302EB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653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</w:t>
      </w:r>
      <w:r w:rsidR="00D302EB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0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6 eura ili </w:t>
      </w:r>
      <w:r w:rsidR="00D302EB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86,77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%</w:t>
      </w:r>
      <w:r w:rsidR="00D302EB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od planiranog.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1C6316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 pitanju su dva izvora financiranja – 1100 Opći prihodi i primici (1.690.740,62 eura) i 5200 - Pomoći proračunu iz drugih proračuna (12.814,00 eura) . Pri</w:t>
      </w:r>
      <w:r w:rsidR="00EC375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hodi</w:t>
      </w:r>
      <w:r w:rsidR="001C6316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iz izvora 1100</w:t>
      </w:r>
      <w:r w:rsidR="00EC375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služe za financiranje rashoda poslovanja kao što su rashodi za plaće zaposlenih, pokriće režija i u manjem dijelu programskih aktivnosti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 Uz</w:t>
      </w:r>
      <w:r w:rsidR="00EC375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programske aktivnosti ustanove kao što je </w:t>
      </w:r>
      <w:r w:rsidR="00EC375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Književn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EC375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nagrad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EC375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Drago Gervais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osnivač </w:t>
      </w:r>
      <w:r w:rsidR="00D302EB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je 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ove godine financira</w:t>
      </w:r>
      <w:r w:rsidR="00D302EB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Ljetni program ( nova aktivnost Gradske knjižnice).</w:t>
      </w:r>
      <w:r w:rsidR="00EC375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1C6316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Iz naknadno </w:t>
      </w:r>
      <w:r w:rsidR="004217E6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ostvarenog</w:t>
      </w:r>
      <w:r w:rsidR="001C6316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izvora 5200 financirana je pretežno programska djelatnost ustanove</w:t>
      </w:r>
      <w:r w:rsidR="004217E6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nešto malo režija. </w:t>
      </w:r>
      <w:r w:rsidR="00D302EB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 2024.g. promijenjen je Pravilnik o proračunskom računovodstvu, ukinut je konto kontinuiranih rashoda te je u rashode uključen i trinaesti rashod razdoblja za koji nije ostvaren prihod u 2024.g. ( metodološki manjak). Prema uputama iz nadležnog proračuna financijski plan je uravnotežen očekivanim, ali neostvarenim prihodima a ne očekivanim manjkom.</w:t>
      </w:r>
    </w:p>
    <w:p w14:paraId="59CCC314" w14:textId="77777777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1F64AF5C" w14:textId="4ED88767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6712-  Prihodi iz nadležnog proračuna za financiranja rashoda za nabavu nefinancijske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imovine  ostvareni su u iznosu od </w:t>
      </w:r>
      <w:r w:rsidR="00D302EB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88.098,44 eura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ili 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10</w:t>
      </w:r>
      <w:r w:rsidR="00D302EB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9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, </w:t>
      </w:r>
      <w:r w:rsidR="00D302EB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3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7%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  <w:r w:rsidR="00EC375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1C6316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 pitanju su dva izvora financiranja – 1100 Opći prihodi i primici ( 60.912,44 eura) i izvor 5200 - Pomoći proračunu iz drugih proračuna ( 27.186,00 eura). O</w:t>
      </w:r>
      <w:r w:rsidR="00EC375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vim prihodima financira se programska aktivnost ustanove Nabava knjižne građe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</w:t>
      </w:r>
      <w:r w:rsidR="00C32BC4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programska aktivnost 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Nabava opreme ( staklene pregrade za novu zgradu Gradske knjižnice</w:t>
      </w:r>
      <w:r w:rsidR="00C32BC4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koje su nabavljene u prvom dijelu godine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).</w:t>
      </w:r>
      <w:r w:rsidR="00032BE1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217E6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Iz izvora 5200 uglavnom je financirana nabava knjižne građe ( 20.000,00 eura) i opreme. </w:t>
      </w:r>
      <w:r w:rsidR="00032BE1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U ovim prihodima </w:t>
      </w:r>
      <w:r w:rsidR="004217E6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na izvoru 1100 </w:t>
      </w:r>
      <w:r w:rsidR="00032BE1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nalaze se naplaćeni prihodi za opremu iz 2023.godine</w:t>
      </w:r>
      <w:r w:rsidR="004217E6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pa</w:t>
      </w:r>
      <w:r w:rsidR="00032BE1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je ostvarenje veće od plana.</w:t>
      </w:r>
    </w:p>
    <w:p w14:paraId="74A80EC5" w14:textId="77777777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6E4B9E2A" w14:textId="24E4BACA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OSTALI PRIHODI</w:t>
      </w:r>
      <w:r w:rsidR="00CB1DA9"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– izvor 31</w:t>
      </w: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65FFA22C" w14:textId="77777777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1AFD6800" w14:textId="18CA2C2E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lastRenderedPageBreak/>
        <w:t>6831- Ostali prihodi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( naknade šteta od osiguranja, povrati sredstva , posebnih ugovora, refundacije i slični ostali prihodi)  ostvareno </w:t>
      </w:r>
      <w:r w:rsidR="00EC375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je u iznosu od 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1.050,00</w:t>
      </w:r>
      <w:r w:rsidR="00EC375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proofErr w:type="spellStart"/>
      <w:r w:rsidR="00EC375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eur</w:t>
      </w:r>
      <w:proofErr w:type="spellEnd"/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ili  105,42%</w:t>
      </w:r>
      <w:r w:rsidR="00EC375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odnosi se na  prihod od osiguranja kao naknada štete za 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oštećenje na </w:t>
      </w:r>
      <w:r w:rsidR="00EC375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Bibliobusu.</w:t>
      </w:r>
    </w:p>
    <w:p w14:paraId="068B7EB4" w14:textId="77777777" w:rsidR="00A81EC8" w:rsidRPr="00866FED" w:rsidRDefault="00A81EC8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4AB48CC2" w14:textId="77777777" w:rsidR="00C32BC4" w:rsidRPr="00866FED" w:rsidRDefault="00C32BC4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522AD1B5" w14:textId="77777777" w:rsidR="00A21FCB" w:rsidRPr="00866FED" w:rsidRDefault="00A21FCB" w:rsidP="00A21FC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PRIHODI OD PRODAJE NEFINANCIJSKE IMOVINE  - izvor 73</w:t>
      </w:r>
    </w:p>
    <w:p w14:paraId="4FBBF162" w14:textId="77777777" w:rsidR="00A21FCB" w:rsidRPr="00866FED" w:rsidRDefault="00A21FCB" w:rsidP="00A21FC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78281444" w14:textId="77777777" w:rsidR="00A21FCB" w:rsidRPr="00866FED" w:rsidRDefault="00A21FCB" w:rsidP="00A21FC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7221- Prihodi od prodaje postrojenja i opreme uredski namještaj</w:t>
      </w:r>
    </w:p>
    <w:p w14:paraId="349E6279" w14:textId="77777777" w:rsidR="00A21FCB" w:rsidRPr="00866FED" w:rsidRDefault="00A21FCB" w:rsidP="00A21FCB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Ostvareno je 194,57% planiranog prihoda od prodaje uredskog namještaja zbog preseljenje na novu lokaciju</w:t>
      </w: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.</w:t>
      </w:r>
    </w:p>
    <w:p w14:paraId="6E120FA3" w14:textId="77777777" w:rsidR="002633F9" w:rsidRPr="00866FED" w:rsidRDefault="002633F9" w:rsidP="00A81E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74BD41BA" w14:textId="77777777" w:rsidR="002633F9" w:rsidRPr="00866FED" w:rsidRDefault="002633F9" w:rsidP="00A81E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1B178A7A" w14:textId="0E1A73A1" w:rsidR="00C32BC4" w:rsidRPr="00866FED" w:rsidRDefault="00C32BC4" w:rsidP="00A81E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VIŠAK POSLOVANJA </w:t>
      </w:r>
      <w:r w:rsidR="002633F9"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– izvor 9 </w:t>
      </w:r>
    </w:p>
    <w:p w14:paraId="65A4D7FC" w14:textId="77777777" w:rsidR="002633F9" w:rsidRPr="00866FED" w:rsidRDefault="002633F9" w:rsidP="00A81EC8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</w:p>
    <w:p w14:paraId="3A7D84C5" w14:textId="6DCF8683" w:rsidR="002633F9" w:rsidRPr="00866FED" w:rsidRDefault="002633F9" w:rsidP="00032BE1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Preneseni </w:t>
      </w:r>
      <w:r w:rsidR="00A81EC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viš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A81EC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 poslovanja 202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3</w:t>
      </w:r>
      <w:r w:rsidR="00A81EC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.g.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unesen je u plan u iznosu </w:t>
      </w:r>
      <w:r w:rsidR="00E1652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101.649</w:t>
      </w:r>
      <w:r w:rsidR="00E1652A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eur</w:t>
      </w:r>
      <w:r w:rsidR="00032BE1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A81EC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koliko je na raspolaganju za trošenje u 202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4</w:t>
      </w:r>
      <w:r w:rsidR="00A81EC8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.g.</w:t>
      </w:r>
      <w:r w:rsidR="008A6A2C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iz namjenskih i vlastitih sredstava.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Odluka o raspodjeli rezultata donesena je 8.7.2024.</w:t>
      </w:r>
      <w:r w:rsidR="00032BE1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Do kraja godine u</w:t>
      </w:r>
      <w:r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trošeno je</w:t>
      </w:r>
      <w:r w:rsidR="00032BE1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48.513,40 eura ( 47,73% planiranog) . </w:t>
      </w:r>
      <w:r w:rsidR="00D42D8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</w:t>
      </w:r>
      <w:r w:rsidR="00046EA0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stvarenj</w:t>
      </w:r>
      <w:r w:rsidR="00D42D8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</w:t>
      </w:r>
      <w:r w:rsidR="00046EA0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plana iz viška poslovanja </w:t>
      </w:r>
      <w:r w:rsidR="00032BE1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je </w:t>
      </w:r>
      <w:r w:rsidR="00D42D8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realizirano na 47,73%. Realizacija je takva zbog </w:t>
      </w:r>
      <w:r w:rsidR="00032BE1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dodatno</w:t>
      </w:r>
      <w:r w:rsidR="00D42D8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g</w:t>
      </w:r>
      <w:r w:rsidR="00032BE1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financiranj</w:t>
      </w:r>
      <w:r w:rsidR="000575C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</w:t>
      </w:r>
      <w:r w:rsidR="00032BE1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="004609F1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iz </w:t>
      </w:r>
      <w:r w:rsidR="00D77CDF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izvora </w:t>
      </w:r>
      <w:r w:rsidR="00204C74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1100 </w:t>
      </w:r>
      <w:r w:rsidR="0074536B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iz kojeg je</w:t>
      </w:r>
      <w:r w:rsidR="00204C74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40.000,00 eura dodijeljeno iz proračuna grada teme</w:t>
      </w:r>
      <w:r w:rsidR="0074536B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l</w:t>
      </w:r>
      <w:r w:rsidR="00204C74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jem ugovora o općim funkcionalnostima knjižnica </w:t>
      </w:r>
      <w:r w:rsidR="0074536B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i 40.000,00 eura iz izvora</w:t>
      </w:r>
      <w:r w:rsidR="00D77CDF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5200 – pomoći proračunu iz drugih proračuna u visini od  studenog 2024.godine</w:t>
      </w:r>
      <w:r w:rsidR="00D42D8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</w:t>
      </w:r>
      <w:r w:rsidR="004609F1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najma od sponzorskog ugovora za Ljeto u Benčiću </w:t>
      </w:r>
      <w:r w:rsidR="00D42D8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(</w:t>
      </w:r>
      <w:r w:rsidR="004609F1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15.000,00 eura) </w:t>
      </w:r>
      <w:r w:rsidR="00D77CDF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. Zbog ovih prihoda nije </w:t>
      </w:r>
      <w:r w:rsidR="00D42D8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potpuno u</w:t>
      </w:r>
      <w:r w:rsidR="00046EA0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trošen višak , već su </w:t>
      </w:r>
      <w:r w:rsidR="00D42D85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uz suglasnost osnivača </w:t>
      </w:r>
      <w:r w:rsidR="00046EA0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trošeni ovi dodatni izvori koje je trebalo iskoristiti do kraja 2024.godine.</w:t>
      </w:r>
      <w:r w:rsidR="00EE63EF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(Nabava pozornice, aktivnosti na katalogizaciji i tiskanju knjige, dio rashoda za nabavu knjižne građe, ispomoć studenata</w:t>
      </w:r>
      <w:r w:rsidR="00D007F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rashodi za programe) . Od nekih nabav</w:t>
      </w:r>
      <w:r w:rsidR="000575C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</w:t>
      </w:r>
      <w:r w:rsidR="00D007F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se odustalo</w:t>
      </w:r>
      <w:r w:rsidR="000575C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="00D007F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npr. nabava </w:t>
      </w:r>
      <w:r w:rsidR="000575C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softvera</w:t>
      </w:r>
      <w:r w:rsidR="00D007F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="000575C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z</w:t>
      </w:r>
      <w:r w:rsidR="00D007F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 evidenciju radnih sati</w:t>
      </w:r>
      <w:r w:rsidR="000575C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 neke nabave su na kraju bile dosta jeftinije od planiranog ( pozornica) , a neke su izvršene djelomično.</w:t>
      </w:r>
      <w:r w:rsidR="00D007F4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</w:p>
    <w:p w14:paraId="4DFC2B38" w14:textId="62B28BCF" w:rsidR="002633F9" w:rsidRDefault="002633F9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Višak za prijenos ostvaren je kao razlika između prihoda i rashoda za poslovanje u ovom razdoblju</w:t>
      </w:r>
      <w:r w:rsidR="000575C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pribrojen neutrošenom višku 2023.godine.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</w:p>
    <w:p w14:paraId="206DB101" w14:textId="77777777" w:rsidR="00D42D85" w:rsidRPr="00866FED" w:rsidRDefault="00D42D85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3729FC65" w14:textId="52ACD5CF" w:rsidR="00D007F4" w:rsidRPr="00D007F4" w:rsidRDefault="00D007F4" w:rsidP="00D007F4">
      <w:pPr>
        <w:pStyle w:val="Opisslike"/>
        <w:keepNext/>
        <w:rPr>
          <w:rFonts w:ascii="Arial" w:hAnsi="Arial" w:cs="Arial"/>
          <w:i w:val="0"/>
          <w:iCs w:val="0"/>
          <w:color w:val="auto"/>
          <w:sz w:val="20"/>
          <w:szCs w:val="20"/>
        </w:rPr>
      </w:pPr>
      <w:r w:rsidRPr="00D007F4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Tablica </w:t>
      </w:r>
      <w:r w:rsidRPr="00D007F4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begin"/>
      </w:r>
      <w:r w:rsidRPr="00D007F4">
        <w:rPr>
          <w:rFonts w:ascii="Arial" w:hAnsi="Arial" w:cs="Arial"/>
          <w:i w:val="0"/>
          <w:iCs w:val="0"/>
          <w:color w:val="auto"/>
          <w:sz w:val="20"/>
          <w:szCs w:val="20"/>
        </w:rPr>
        <w:instrText xml:space="preserve"> SEQ Tablica \* ARABIC </w:instrText>
      </w:r>
      <w:r w:rsidRPr="00D007F4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separate"/>
      </w:r>
      <w:r w:rsidR="004A7C47">
        <w:rPr>
          <w:rFonts w:ascii="Arial" w:hAnsi="Arial" w:cs="Arial"/>
          <w:i w:val="0"/>
          <w:iCs w:val="0"/>
          <w:noProof/>
          <w:color w:val="auto"/>
          <w:sz w:val="20"/>
          <w:szCs w:val="20"/>
        </w:rPr>
        <w:t>1</w:t>
      </w:r>
      <w:r w:rsidRPr="00D007F4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end"/>
      </w:r>
      <w:r w:rsidRPr="00D007F4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Višak 2023 – izvršenje</w:t>
      </w:r>
      <w:r w:rsidR="004A7C47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financijskog plana </w:t>
      </w:r>
      <w:r w:rsidRPr="00D007F4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prema aktivnostima 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40"/>
        <w:gridCol w:w="1460"/>
        <w:gridCol w:w="1460"/>
        <w:gridCol w:w="1320"/>
        <w:gridCol w:w="1196"/>
      </w:tblGrid>
      <w:tr w:rsidR="00D007F4" w:rsidRPr="00D007F4" w14:paraId="2B9BF377" w14:textId="77777777" w:rsidTr="000575C9">
        <w:trPr>
          <w:trHeight w:val="264"/>
        </w:trPr>
        <w:tc>
          <w:tcPr>
            <w:tcW w:w="4340" w:type="dxa"/>
            <w:shd w:val="clear" w:color="auto" w:fill="auto"/>
            <w:vAlign w:val="center"/>
            <w:hideMark/>
          </w:tcPr>
          <w:p w14:paraId="3393D0A2" w14:textId="77777777" w:rsidR="00D007F4" w:rsidRPr="00D007F4" w:rsidRDefault="00D007F4" w:rsidP="00D00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– OPIS 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48B7B8A2" w14:textId="77777777" w:rsidR="00D007F4" w:rsidRPr="00D007F4" w:rsidRDefault="00D007F4" w:rsidP="00D00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2024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4B32FA44" w14:textId="77777777" w:rsidR="00D007F4" w:rsidRPr="00D007F4" w:rsidRDefault="00D007F4" w:rsidP="00D00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Ostvarenje 2024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7DB7CD41" w14:textId="77777777" w:rsidR="00D007F4" w:rsidRPr="00D007F4" w:rsidRDefault="00D007F4" w:rsidP="00D00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Razlika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0F4A2C8E" w14:textId="77777777" w:rsidR="00D007F4" w:rsidRPr="00D007F4" w:rsidRDefault="00D007F4" w:rsidP="00D00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(3./2.)</w:t>
            </w:r>
          </w:p>
        </w:tc>
      </w:tr>
      <w:tr w:rsidR="00D007F4" w:rsidRPr="00D007F4" w14:paraId="2E372165" w14:textId="77777777" w:rsidTr="000575C9">
        <w:trPr>
          <w:trHeight w:val="276"/>
        </w:trPr>
        <w:tc>
          <w:tcPr>
            <w:tcW w:w="4340" w:type="dxa"/>
            <w:shd w:val="clear" w:color="auto" w:fill="auto"/>
            <w:vAlign w:val="center"/>
            <w:hideMark/>
          </w:tcPr>
          <w:p w14:paraId="18D7F8B2" w14:textId="77777777" w:rsidR="00D007F4" w:rsidRPr="00D007F4" w:rsidRDefault="00D007F4" w:rsidP="00D00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306C7DB0" w14:textId="77777777" w:rsidR="00D007F4" w:rsidRPr="00D007F4" w:rsidRDefault="00D007F4" w:rsidP="00D00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460" w:type="dxa"/>
            <w:shd w:val="clear" w:color="auto" w:fill="auto"/>
            <w:vAlign w:val="center"/>
            <w:hideMark/>
          </w:tcPr>
          <w:p w14:paraId="4D1E852E" w14:textId="77777777" w:rsidR="00D007F4" w:rsidRPr="00D007F4" w:rsidRDefault="00D007F4" w:rsidP="00D00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14:paraId="26E8110D" w14:textId="77777777" w:rsidR="00D007F4" w:rsidRPr="00D007F4" w:rsidRDefault="00D007F4" w:rsidP="00D00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196" w:type="dxa"/>
            <w:shd w:val="clear" w:color="auto" w:fill="auto"/>
            <w:vAlign w:val="center"/>
            <w:hideMark/>
          </w:tcPr>
          <w:p w14:paraId="2FE2E34F" w14:textId="77777777" w:rsidR="00D007F4" w:rsidRPr="00D007F4" w:rsidRDefault="00D007F4" w:rsidP="00D007F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5</w:t>
            </w:r>
          </w:p>
        </w:tc>
      </w:tr>
      <w:tr w:rsidR="00D007F4" w:rsidRPr="00D007F4" w14:paraId="1562780F" w14:textId="77777777" w:rsidTr="004A7C47">
        <w:trPr>
          <w:trHeight w:val="360"/>
        </w:trPr>
        <w:tc>
          <w:tcPr>
            <w:tcW w:w="4340" w:type="dxa"/>
            <w:shd w:val="clear" w:color="000000" w:fill="FFFFFF"/>
            <w:vAlign w:val="center"/>
            <w:hideMark/>
          </w:tcPr>
          <w:p w14:paraId="1408F56A" w14:textId="13DF9441" w:rsidR="00D007F4" w:rsidRPr="00D007F4" w:rsidRDefault="004A7C47" w:rsidP="004A7C4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 1187 </w:t>
            </w:r>
            <w:r w:rsidR="00D007F4"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REDOVNA DJELATNOST USTANOVE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14:paraId="36BB8F31" w14:textId="77777777" w:rsidR="00D007F4" w:rsidRPr="00D007F4" w:rsidRDefault="00D007F4" w:rsidP="00D007F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101.649,00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14:paraId="547120AB" w14:textId="77777777" w:rsidR="00D007F4" w:rsidRPr="00D007F4" w:rsidRDefault="00D007F4" w:rsidP="00D007F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48.513,40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2FF201B" w14:textId="77777777" w:rsidR="00D007F4" w:rsidRPr="00D007F4" w:rsidRDefault="00D007F4" w:rsidP="00D007F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53.135,60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14:paraId="607F796F" w14:textId="77777777" w:rsidR="00D007F4" w:rsidRPr="00D007F4" w:rsidRDefault="00D007F4" w:rsidP="00D00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47,73</w:t>
            </w:r>
          </w:p>
        </w:tc>
      </w:tr>
      <w:tr w:rsidR="00D007F4" w:rsidRPr="00D007F4" w14:paraId="3FF593C3" w14:textId="77777777" w:rsidTr="004A7C47">
        <w:trPr>
          <w:trHeight w:val="264"/>
        </w:trPr>
        <w:tc>
          <w:tcPr>
            <w:tcW w:w="4340" w:type="dxa"/>
            <w:shd w:val="clear" w:color="000000" w:fill="FFFFFF"/>
            <w:vAlign w:val="center"/>
            <w:hideMark/>
          </w:tcPr>
          <w:p w14:paraId="7DA49E07" w14:textId="77777777" w:rsidR="00D007F4" w:rsidRPr="00D007F4" w:rsidRDefault="00D007F4" w:rsidP="00D007F4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A118702 REDOVNA DJELATNOST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14:paraId="2F4F76CB" w14:textId="77777777" w:rsidR="00D007F4" w:rsidRPr="00D007F4" w:rsidRDefault="00D007F4" w:rsidP="00D007F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14:paraId="168D1427" w14:textId="77777777" w:rsidR="00D007F4" w:rsidRPr="00D007F4" w:rsidRDefault="00D007F4" w:rsidP="00D007F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7.883,23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D4ADDCE" w14:textId="77777777" w:rsidR="00D007F4" w:rsidRPr="00D007F4" w:rsidRDefault="00D007F4" w:rsidP="00D007F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27.116,77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14:paraId="7C2C062B" w14:textId="77777777" w:rsidR="00D007F4" w:rsidRPr="00D007F4" w:rsidRDefault="00D007F4" w:rsidP="00D00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22,52</w:t>
            </w:r>
          </w:p>
        </w:tc>
      </w:tr>
      <w:tr w:rsidR="00D007F4" w:rsidRPr="00D007F4" w14:paraId="5209C0CC" w14:textId="77777777" w:rsidTr="004A7C47">
        <w:trPr>
          <w:trHeight w:val="264"/>
        </w:trPr>
        <w:tc>
          <w:tcPr>
            <w:tcW w:w="4340" w:type="dxa"/>
            <w:shd w:val="clear" w:color="000000" w:fill="FFFFFF"/>
            <w:vAlign w:val="center"/>
            <w:hideMark/>
          </w:tcPr>
          <w:p w14:paraId="4B32684C" w14:textId="77777777" w:rsidR="00D007F4" w:rsidRPr="00D007F4" w:rsidRDefault="00D007F4" w:rsidP="00D007F4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A118703 PROGRAMSKE AKTIVNOSTI 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14:paraId="67D7F7E2" w14:textId="77777777" w:rsidR="00D007F4" w:rsidRPr="00D007F4" w:rsidRDefault="00D007F4" w:rsidP="00D007F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16.061,00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14:paraId="634D95DB" w14:textId="77777777" w:rsidR="00D007F4" w:rsidRPr="00D007F4" w:rsidRDefault="00D007F4" w:rsidP="00D007F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2.590,43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327ADCF5" w14:textId="77777777" w:rsidR="00D007F4" w:rsidRPr="00D007F4" w:rsidRDefault="00D007F4" w:rsidP="00D007F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13.470,57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14:paraId="2E7B7A26" w14:textId="77777777" w:rsidR="00D007F4" w:rsidRPr="00D007F4" w:rsidRDefault="00D007F4" w:rsidP="00D00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16,13</w:t>
            </w:r>
          </w:p>
        </w:tc>
      </w:tr>
      <w:tr w:rsidR="00D007F4" w:rsidRPr="00D007F4" w14:paraId="3B63C1E5" w14:textId="77777777" w:rsidTr="004A7C47">
        <w:trPr>
          <w:trHeight w:val="264"/>
        </w:trPr>
        <w:tc>
          <w:tcPr>
            <w:tcW w:w="4340" w:type="dxa"/>
            <w:shd w:val="clear" w:color="000000" w:fill="FFFFFF"/>
            <w:vAlign w:val="center"/>
            <w:hideMark/>
          </w:tcPr>
          <w:p w14:paraId="5B362667" w14:textId="77777777" w:rsidR="00D007F4" w:rsidRPr="00D007F4" w:rsidRDefault="00D007F4" w:rsidP="00D007F4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K118705 NABAVA KNJIŽNE GRAĐE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14:paraId="476C2485" w14:textId="77777777" w:rsidR="00D007F4" w:rsidRPr="00D007F4" w:rsidRDefault="00D007F4" w:rsidP="00D007F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45.588,00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14:paraId="1AC1D9C3" w14:textId="77777777" w:rsidR="00D007F4" w:rsidRPr="00D007F4" w:rsidRDefault="00D007F4" w:rsidP="00D007F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38.039,74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19CBC058" w14:textId="77777777" w:rsidR="00D007F4" w:rsidRPr="00D007F4" w:rsidRDefault="00D007F4" w:rsidP="00D007F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7.548,26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14:paraId="389EB3C8" w14:textId="77777777" w:rsidR="00D007F4" w:rsidRPr="00D007F4" w:rsidRDefault="00D007F4" w:rsidP="00D00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83,44</w:t>
            </w:r>
          </w:p>
        </w:tc>
      </w:tr>
      <w:tr w:rsidR="00D007F4" w:rsidRPr="00D007F4" w14:paraId="6055A579" w14:textId="77777777" w:rsidTr="004A7C47">
        <w:trPr>
          <w:trHeight w:val="264"/>
        </w:trPr>
        <w:tc>
          <w:tcPr>
            <w:tcW w:w="4340" w:type="dxa"/>
            <w:shd w:val="clear" w:color="000000" w:fill="FFFFFF"/>
            <w:vAlign w:val="center"/>
            <w:hideMark/>
          </w:tcPr>
          <w:p w14:paraId="7D12378B" w14:textId="77777777" w:rsidR="00D007F4" w:rsidRPr="00D007F4" w:rsidRDefault="00D007F4" w:rsidP="00D007F4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K118710 NABAVKA OPREME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14:paraId="3EE9C908" w14:textId="77777777" w:rsidR="00D007F4" w:rsidRPr="00D007F4" w:rsidRDefault="00D007F4" w:rsidP="00D007F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60" w:type="dxa"/>
            <w:shd w:val="clear" w:color="000000" w:fill="FFFFFF"/>
            <w:vAlign w:val="center"/>
            <w:hideMark/>
          </w:tcPr>
          <w:p w14:paraId="29D2035C" w14:textId="77777777" w:rsidR="00D007F4" w:rsidRPr="00D007F4" w:rsidRDefault="00D007F4" w:rsidP="00D007F4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320" w:type="dxa"/>
            <w:shd w:val="clear" w:color="000000" w:fill="FFFFFF"/>
            <w:vAlign w:val="center"/>
            <w:hideMark/>
          </w:tcPr>
          <w:p w14:paraId="78D7B6E3" w14:textId="77777777" w:rsidR="00D007F4" w:rsidRPr="00D007F4" w:rsidRDefault="00D007F4" w:rsidP="00D007F4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196" w:type="dxa"/>
            <w:shd w:val="clear" w:color="000000" w:fill="FFFFFF"/>
            <w:vAlign w:val="center"/>
            <w:hideMark/>
          </w:tcPr>
          <w:p w14:paraId="069013D6" w14:textId="77777777" w:rsidR="00D007F4" w:rsidRPr="00D007F4" w:rsidRDefault="00D007F4" w:rsidP="00D007F4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D007F4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</w:tbl>
    <w:p w14:paraId="08141E0B" w14:textId="77777777" w:rsidR="006860FE" w:rsidRPr="00866FED" w:rsidRDefault="006860FE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51155A5F" w14:textId="6205FFBF" w:rsidR="00684907" w:rsidRPr="00684907" w:rsidRDefault="00684907" w:rsidP="00684907">
      <w:pPr>
        <w:pStyle w:val="Opisslike"/>
        <w:keepNext/>
        <w:rPr>
          <w:rFonts w:ascii="Arial" w:hAnsi="Arial" w:cs="Arial"/>
          <w:i w:val="0"/>
          <w:iCs w:val="0"/>
          <w:color w:val="auto"/>
          <w:sz w:val="20"/>
          <w:szCs w:val="20"/>
        </w:rPr>
      </w:pPr>
      <w:r w:rsidRPr="00684907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Tablica </w:t>
      </w:r>
      <w:r w:rsidRPr="00684907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begin"/>
      </w:r>
      <w:r w:rsidRPr="00684907">
        <w:rPr>
          <w:rFonts w:ascii="Arial" w:hAnsi="Arial" w:cs="Arial"/>
          <w:i w:val="0"/>
          <w:iCs w:val="0"/>
          <w:color w:val="auto"/>
          <w:sz w:val="20"/>
          <w:szCs w:val="20"/>
        </w:rPr>
        <w:instrText xml:space="preserve"> SEQ Tablica \* ARABIC </w:instrText>
      </w:r>
      <w:r w:rsidRPr="00684907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separate"/>
      </w:r>
      <w:r w:rsidR="004A7C47">
        <w:rPr>
          <w:rFonts w:ascii="Arial" w:hAnsi="Arial" w:cs="Arial"/>
          <w:i w:val="0"/>
          <w:iCs w:val="0"/>
          <w:noProof/>
          <w:color w:val="auto"/>
          <w:sz w:val="20"/>
          <w:szCs w:val="20"/>
        </w:rPr>
        <w:t>2</w:t>
      </w:r>
      <w:r w:rsidRPr="00684907">
        <w:rPr>
          <w:rFonts w:ascii="Arial" w:hAnsi="Arial" w:cs="Arial"/>
          <w:i w:val="0"/>
          <w:iCs w:val="0"/>
          <w:color w:val="auto"/>
          <w:sz w:val="20"/>
          <w:szCs w:val="20"/>
        </w:rPr>
        <w:fldChar w:fldCharType="end"/>
      </w:r>
      <w:r w:rsidRPr="00684907">
        <w:rPr>
          <w:rFonts w:ascii="Arial" w:hAnsi="Arial" w:cs="Arial"/>
          <w:i w:val="0"/>
          <w:iCs w:val="0"/>
          <w:color w:val="auto"/>
          <w:sz w:val="20"/>
          <w:szCs w:val="20"/>
        </w:rPr>
        <w:t xml:space="preserve"> Višak prema Odluci o raspodjeli rezultata za 2023.godinu - namjene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439"/>
        <w:gridCol w:w="3951"/>
        <w:gridCol w:w="1417"/>
        <w:gridCol w:w="1418"/>
        <w:gridCol w:w="1275"/>
        <w:gridCol w:w="1276"/>
      </w:tblGrid>
      <w:tr w:rsidR="00684907" w:rsidRPr="00684907" w14:paraId="6C3821AC" w14:textId="77777777" w:rsidTr="000575C9">
        <w:trPr>
          <w:trHeight w:val="816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9FC33" w14:textId="5EB5796D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84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R.</w:t>
            </w:r>
            <w:r w:rsidRPr="00684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>B</w:t>
            </w:r>
            <w:r w:rsidR="00057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r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CF9A9" w14:textId="77777777" w:rsidR="00684907" w:rsidRPr="00684907" w:rsidRDefault="00684907" w:rsidP="0068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84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OPIS :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286A8" w14:textId="77777777" w:rsidR="00684907" w:rsidRPr="00684907" w:rsidRDefault="00684907" w:rsidP="0068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84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ODLUKA :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4D910" w14:textId="77777777" w:rsidR="00684907" w:rsidRPr="00684907" w:rsidRDefault="00684907" w:rsidP="0068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84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UTROŠENO</w:t>
            </w:r>
            <w:r w:rsidRPr="00684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 xml:space="preserve"> VIŠAK :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8025F" w14:textId="77777777" w:rsidR="00684907" w:rsidRPr="00684907" w:rsidRDefault="00684907" w:rsidP="0068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84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UTROŠENO</w:t>
            </w:r>
            <w:r w:rsidRPr="00684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br/>
              <w:t xml:space="preserve"> IZ  DRUGIIH IZVORA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FBBE5" w14:textId="568FFD8A" w:rsidR="00684907" w:rsidRPr="00684907" w:rsidRDefault="00684907" w:rsidP="0068490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</w:pPr>
            <w:r w:rsidRPr="00684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N</w:t>
            </w:r>
            <w:r w:rsidR="000575C9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>IJE UTROŠENO</w:t>
            </w:r>
            <w:r w:rsidRPr="00684907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hr-HR"/>
              </w:rPr>
              <w:t xml:space="preserve"> </w:t>
            </w:r>
          </w:p>
        </w:tc>
      </w:tr>
      <w:tr w:rsidR="00684907" w:rsidRPr="00684907" w14:paraId="2D18181C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0A963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1F1601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BF270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10.976,60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B096DE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10.397,64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96F1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578,96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E382A7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4907" w:rsidRPr="00684907" w14:paraId="2E22DA88" w14:textId="77777777" w:rsidTr="0057355D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1C30A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841A72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Investicijsko održavanje  zgrade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F749A7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D15507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79A5A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5.278,95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A93A00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721,05</w:t>
            </w:r>
          </w:p>
        </w:tc>
      </w:tr>
      <w:tr w:rsidR="00684907" w:rsidRPr="00684907" w14:paraId="0DF6D218" w14:textId="77777777" w:rsidTr="0057355D">
        <w:trPr>
          <w:trHeight w:val="288"/>
        </w:trPr>
        <w:tc>
          <w:tcPr>
            <w:tcW w:w="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2666A8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lastRenderedPageBreak/>
              <w:t>3</w:t>
            </w:r>
          </w:p>
        </w:tc>
        <w:tc>
          <w:tcPr>
            <w:tcW w:w="3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CE6F0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Montaža i demontaža opreme kod preseljenja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46FF7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040F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2.629,07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0AF88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AD1FE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1.370,93</w:t>
            </w:r>
          </w:p>
        </w:tc>
      </w:tr>
      <w:tr w:rsidR="00684907" w:rsidRPr="00684907" w14:paraId="39F783F0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6ADDF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924F8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Promidžbeni materijali i usluge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C1995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E3AA7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965,00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E41F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4.035,00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84FBB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4907" w:rsidRPr="00684907" w14:paraId="0C6A92E1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6135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711FC" w14:textId="3B59202B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Nabava soft</w:t>
            </w:r>
            <w:r w:rsidR="00057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v</w:t>
            </w: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era za evidenciju radnog vremena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9C153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A3949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7ED5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29F00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6.000,00</w:t>
            </w:r>
          </w:p>
        </w:tc>
      </w:tr>
      <w:tr w:rsidR="00684907" w:rsidRPr="00684907" w14:paraId="2228597C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9166FA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8693A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Hosting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998D6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48F726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E497E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64029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4907" w:rsidRPr="00684907" w14:paraId="73B9036F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DB5CE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44574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Održavanje </w:t>
            </w:r>
            <w:proofErr w:type="spellStart"/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WEBa</w:t>
            </w:r>
            <w:proofErr w:type="spellEnd"/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92DAA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98C6A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CA2CC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E5E00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4907" w:rsidRPr="00684907" w14:paraId="6D4D753D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5A692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40296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tiska dio od 2.000,00eur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3FC46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1.128,00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1E3B8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69DEF6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1.128,00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B6A65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4907" w:rsidRPr="00684907" w14:paraId="7C8C49FB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97891D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4035E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Digitalno izdavaštvo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1DADC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5D5C2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806,25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8630EA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2.387,45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F7F1C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1.806,30</w:t>
            </w:r>
          </w:p>
        </w:tc>
      </w:tr>
      <w:tr w:rsidR="00684907" w:rsidRPr="00684907" w14:paraId="6F49A7C8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FF2935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DC9604" w14:textId="6533E5FD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Razvoj WEB</w:t>
            </w:r>
            <w:r w:rsidR="000575C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 </w:t>
            </w: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0765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4C95C5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A6582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4F5E2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4.300,00</w:t>
            </w:r>
          </w:p>
        </w:tc>
      </w:tr>
      <w:tr w:rsidR="00684907" w:rsidRPr="00684907" w14:paraId="7690230F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B684D6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12F636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Zavičajna digitalna knjižnica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41D1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5E4B6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1.000,00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5408A4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DC2BFC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4907" w:rsidRPr="00684907" w14:paraId="233DDDB4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9DDF5B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E55A3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8352A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25.225,77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7C20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19.824,15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2B8BC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5.401,62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5C75C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4907" w:rsidRPr="00684907" w14:paraId="6A831DE5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6F0E98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8FACA5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Pozornica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EFE1A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C6DBD9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CFAB5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4.040,09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ADAA7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959,91</w:t>
            </w:r>
          </w:p>
        </w:tc>
      </w:tr>
      <w:tr w:rsidR="00684907" w:rsidRPr="00684907" w14:paraId="2DB59363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1EC33E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34EE54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Putni troškovi službenih putovanja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A7C6F6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898EC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5F4922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1.245,70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8E6B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404,30</w:t>
            </w:r>
          </w:p>
        </w:tc>
      </w:tr>
      <w:tr w:rsidR="00684907" w:rsidRPr="00684907" w14:paraId="7CDFB6F5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E401C0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23F2DA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Knjige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84F58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4.812,96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894A6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3.266,65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B6830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1.546,31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8E901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4907" w:rsidRPr="00684907" w14:paraId="502D205A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ACEEA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16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60AEDD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Intelektualne usluge  - katalogizacija MŠP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1358B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0FE67E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1.496,06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0A572D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264C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3,94</w:t>
            </w:r>
          </w:p>
        </w:tc>
      </w:tr>
      <w:tr w:rsidR="00684907" w:rsidRPr="00684907" w14:paraId="77672BA1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085D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17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0D8AA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Intelektualne usluge  - Lucić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4B56C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E0A489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5045D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51DDA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4907" w:rsidRPr="00684907" w14:paraId="01CF2EAE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1ADDB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799D3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Knjige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529BD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4.207,37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F1BB0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4.183,30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61B96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D0B80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24,07</w:t>
            </w:r>
          </w:p>
        </w:tc>
      </w:tr>
      <w:tr w:rsidR="00684907" w:rsidRPr="00684907" w14:paraId="15F73B14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3E8263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19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CB3C8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Usluge tiska dio od 2.000,00eur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9E9C0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872,12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916E2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FB56B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872,12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F9C97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4907" w:rsidRPr="00684907" w14:paraId="02E6A31F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2293C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20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14BAC4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Restauracija Novog lista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AE20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DA896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96DB7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2DCA0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4907" w:rsidRPr="00684907" w14:paraId="68A36AB7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0C8A31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21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1E60E8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Investicijsko održavanje zgrade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86C5E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E1FB96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7D6E22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B5A5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4907" w:rsidRPr="00684907" w14:paraId="45BB52DA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41D07C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22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8155D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Pozornica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887556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A5B4D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D8AF0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FDAB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1.500,00</w:t>
            </w:r>
          </w:p>
        </w:tc>
      </w:tr>
      <w:tr w:rsidR="00684907" w:rsidRPr="00684907" w14:paraId="2E41B537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644D8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23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6BEF87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 xml:space="preserve">Knjige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0FECF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368,38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C3346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368,00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7E9CE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7AD3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4907" w:rsidRPr="00684907" w14:paraId="1A6ED595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D1BA2D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24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016DA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Norveški dani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9A67A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342,50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464C5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342,50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ABA39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02AF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4907" w:rsidRPr="00684907" w14:paraId="5B1A3D97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047F16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25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8C2D2F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PROGRAMI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E34C6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2.719,41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B5B74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184,78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074F1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2.534,63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30882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0,00</w:t>
            </w:r>
          </w:p>
        </w:tc>
      </w:tr>
      <w:tr w:rsidR="00684907" w:rsidRPr="00684907" w14:paraId="3ADD37A6" w14:textId="77777777" w:rsidTr="000575C9">
        <w:trPr>
          <w:trHeight w:val="288"/>
        </w:trPr>
        <w:tc>
          <w:tcPr>
            <w:tcW w:w="4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B9A5F2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3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FF175" w14:textId="77777777" w:rsidR="00684907" w:rsidRPr="00684907" w:rsidRDefault="00684907" w:rsidP="0068490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RASPOREĐENO ODLUKOM  :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EE65A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101.653,11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7E42A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48.513,40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D8CE17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36.049,21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70FFE" w14:textId="77777777" w:rsidR="00684907" w:rsidRPr="00684907" w:rsidRDefault="00684907" w:rsidP="0068490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8490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17.090,50</w:t>
            </w:r>
          </w:p>
        </w:tc>
      </w:tr>
    </w:tbl>
    <w:p w14:paraId="2629235C" w14:textId="0B2D7DAB" w:rsidR="006860FE" w:rsidRPr="00866FED" w:rsidRDefault="006860FE" w:rsidP="00A81EC8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bookmarkEnd w:id="0"/>
    <w:p w14:paraId="15915E78" w14:textId="77777777" w:rsidR="00AE0D3D" w:rsidRPr="00866FED" w:rsidRDefault="00AE0D3D" w:rsidP="00A81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412B42B5" w14:textId="167EB278" w:rsidR="00A81EC8" w:rsidRPr="00866FED" w:rsidRDefault="00611528" w:rsidP="00A81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A</w:t>
      </w:r>
      <w:r w:rsidR="00A81EC8" w:rsidRPr="00866FED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RAČUN RASHODA PREMA FUNKCIJSKOJ KLASIFIKACIJI – SLUŽBE KULTURE I EKONOMSKOJ KLASIFIKACIJI </w:t>
      </w:r>
    </w:p>
    <w:p w14:paraId="33AB0161" w14:textId="77777777" w:rsidR="00A81EC8" w:rsidRPr="00866FED" w:rsidRDefault="00A81EC8" w:rsidP="00A81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4260C818" w14:textId="058A6EA9" w:rsidR="00A81EC8" w:rsidRPr="00866FED" w:rsidRDefault="00A81EC8" w:rsidP="00A81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Funkcijska klasifikacija : </w:t>
      </w:r>
      <w:r w:rsidR="00CB1DA9" w:rsidRPr="00866FED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0820 - </w:t>
      </w:r>
      <w:r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Službe kulture  </w:t>
      </w:r>
      <w:r w:rsidR="004217E6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2.675.473,09 </w:t>
      </w:r>
      <w:r w:rsidR="00E1652A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eur</w:t>
      </w:r>
      <w:r w:rsidR="00CB1DA9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a</w:t>
      </w:r>
      <w:r w:rsidR="00E1652A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što je </w:t>
      </w:r>
      <w:r w:rsidR="004217E6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90,31</w:t>
      </w:r>
      <w:r w:rsidR="00E1652A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% u odnosu n</w:t>
      </w:r>
      <w:r w:rsidR="008C4317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="00E1652A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a </w:t>
      </w:r>
      <w:r w:rsidR="00CB1DA9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financijski plan razdoblja . </w:t>
      </w:r>
    </w:p>
    <w:p w14:paraId="086977E8" w14:textId="77777777" w:rsidR="00F01D3D" w:rsidRPr="00866FED" w:rsidRDefault="00F01D3D" w:rsidP="00A81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7C92C7A4" w14:textId="345A5142" w:rsidR="006A736F" w:rsidRPr="00866FED" w:rsidRDefault="00B97477" w:rsidP="00D56FB9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A - </w:t>
      </w:r>
      <w:r w:rsidR="006A736F" w:rsidRPr="00866FED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RAČUN RASHODA PREMA </w:t>
      </w:r>
      <w:r w:rsidR="006A736F"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IZVORIMA FINANCIRANJA I EKONOMSKOJ KLASIFIKACIJI </w:t>
      </w: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– TABLICA</w:t>
      </w:r>
      <w:r w:rsidR="00D56FB9"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RAČUN PRIHODA I RASHODA U </w:t>
      </w:r>
      <w:r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D56FB9"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„ IZVRŠENJU FINANCIJSKOG  PLANA ZA I-VI.202</w:t>
      </w:r>
      <w:r w:rsidR="006860FE"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4</w:t>
      </w:r>
      <w:r w:rsidR="00D56FB9" w:rsidRPr="00866FED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. PORAČUNSKOG KORISNIKA GRADSKE KNJIŽNICE RIJEKA“ </w:t>
      </w:r>
    </w:p>
    <w:p w14:paraId="52C399D6" w14:textId="77777777" w:rsidR="00B53E22" w:rsidRPr="00866FED" w:rsidRDefault="00B53E22" w:rsidP="00B53E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241B1E25" w14:textId="3F604716" w:rsidR="00EB3D25" w:rsidRPr="00866FED" w:rsidRDefault="00D56FB9" w:rsidP="00B53E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Detaljno izvršenje </w:t>
      </w:r>
      <w:r w:rsidR="00B9747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rashoda Ustanove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nalazi se u </w:t>
      </w:r>
      <w:r w:rsidR="004678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navedenoj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tablici. </w:t>
      </w:r>
      <w:r w:rsidR="00EB3D25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Ovdje prilažemo obrazloženje : </w:t>
      </w:r>
    </w:p>
    <w:p w14:paraId="28708CE4" w14:textId="4161969C" w:rsidR="0046785E" w:rsidRPr="00866FED" w:rsidRDefault="00D56FB9" w:rsidP="006860FE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Izvršenje </w:t>
      </w:r>
      <w:r w:rsidR="001E4E56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financijskog plana o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d </w:t>
      </w:r>
      <w:r w:rsidR="004217E6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2.675.473,09 </w:t>
      </w:r>
      <w:r w:rsidR="006860F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eura </w:t>
      </w:r>
      <w:r w:rsidR="001E4E56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ili </w:t>
      </w:r>
      <w:r w:rsidR="004217E6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90,31</w:t>
      </w:r>
      <w:r w:rsidR="00B9747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% u odnosu na tekući plan ustanove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posljedica je očekivanih i planiranih rashoda u </w:t>
      </w:r>
      <w:r w:rsidR="006860F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2024.</w:t>
      </w:r>
      <w:r w:rsidR="001E4E56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6860F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godini</w:t>
      </w:r>
      <w:r w:rsidR="001E4E56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razdoblja nakon</w:t>
      </w:r>
      <w:r w:rsidR="006860F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preseljenje Gradske knjižnice u novu zgradu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6860F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  <w:r w:rsidR="00B53E22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4609F1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Rashodi nisu ostvareni u planiranim iznosima zbog mjera vlade RH u vezi cijena energenata, </w:t>
      </w:r>
      <w:r w:rsid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zbog dodatno doznačenih sredstava iz proračuna osnivača koji se nije uspio utrošiti prema planu, </w:t>
      </w:r>
      <w:r w:rsidR="004609F1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 neki zbog neriješenih vlasničkih odnosa i nositelja troškova vezanih za nove objekte</w:t>
      </w:r>
      <w:r w:rsidR="0036532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(npr.</w:t>
      </w:r>
      <w:r w:rsid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dio r</w:t>
      </w:r>
      <w:r w:rsidR="001E4E56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ashod</w:t>
      </w:r>
      <w:r w:rsid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1E4E56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36532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režija </w:t>
      </w:r>
      <w:r w:rsidR="001E4E56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vezani</w:t>
      </w:r>
      <w:r w:rsid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h</w:t>
      </w:r>
      <w:r w:rsidR="001E4E56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za Dječju kuću i Središnju knjižnicu </w:t>
      </w:r>
      <w:r w:rsidR="0036532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djelomično su planirani u financijskom planu ustanove , ali i osnivača)</w:t>
      </w:r>
      <w:r w:rsidR="008C431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rješenje očekujemo u budućnosti.</w:t>
      </w:r>
    </w:p>
    <w:p w14:paraId="55EFB75A" w14:textId="77777777" w:rsidR="00866FED" w:rsidRDefault="00866FED" w:rsidP="00B53E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</w:p>
    <w:p w14:paraId="2890DDFC" w14:textId="75123106" w:rsidR="009F08FF" w:rsidRPr="008C4317" w:rsidRDefault="009F08FF" w:rsidP="00B53E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C431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3 - R</w:t>
      </w:r>
      <w:r w:rsidR="00B53E22" w:rsidRPr="008C431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ashod</w:t>
      </w:r>
      <w:r w:rsidRPr="008C431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i </w:t>
      </w:r>
      <w:r w:rsidR="00B53E22" w:rsidRPr="008C431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poslovanja</w:t>
      </w:r>
      <w:r w:rsidRPr="008C431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="00B53E22" w:rsidRPr="008C431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Pr="008C431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</w:p>
    <w:p w14:paraId="6F0199A8" w14:textId="37EB8984" w:rsidR="00B53E22" w:rsidRPr="00866FED" w:rsidRDefault="009F08FF" w:rsidP="00B53E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31- Rashodi za zaposlene – </w:t>
      </w:r>
      <w:r w:rsidR="004678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poveća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na je </w:t>
      </w:r>
      <w:r w:rsidR="004678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osnovic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a koeficijenti </w:t>
      </w:r>
      <w:r w:rsidR="004678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materijaln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4678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prava prema </w:t>
      </w:r>
      <w:r w:rsidR="00B53E22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DE7BBB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K</w:t>
      </w:r>
      <w:r w:rsidR="00B53E22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olektivn</w:t>
      </w:r>
      <w:r w:rsidR="004678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om </w:t>
      </w:r>
      <w:r w:rsidR="00B53E22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ugovor</w:t>
      </w:r>
      <w:r w:rsidR="004678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u </w:t>
      </w:r>
      <w:r w:rsidR="00B53E22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od 29.07.202</w:t>
      </w:r>
      <w:r w:rsidR="00D56FB9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2.g</w:t>
      </w:r>
      <w:r w:rsidR="004678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  <w:r w:rsidR="006860F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njegovom Dodatku I od veljače 2024.g.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Ostvarenj</w:t>
      </w:r>
      <w:r w:rsidR="004217E6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na godišnjem nivou</w:t>
      </w:r>
      <w:r w:rsidR="00C12C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je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E6621F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97,18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% </w:t>
      </w:r>
      <w:r w:rsidR="00C12C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U rashodi plaće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 godišnj</w:t>
      </w:r>
      <w:r w:rsidR="00C12C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em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razdoblj</w:t>
      </w:r>
      <w:r w:rsidR="00C12C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izvršenja 2024.g. </w:t>
      </w:r>
      <w:r w:rsidR="00F865C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imamo dvije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plaća </w:t>
      </w:r>
      <w:r w:rsidR="00E6621F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 osnovicom 661,57</w:t>
      </w:r>
      <w:r w:rsidR="00C12C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E6621F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eura 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bez povećanja koeficijenata po Dodatku I</w:t>
      </w:r>
      <w:r w:rsidR="00E6621F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jedna s povećanjem koeficijenata</w:t>
      </w:r>
      <w:r w:rsidR="00F865C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starom osnovicom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E6621F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E6621F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devet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plać</w:t>
      </w:r>
      <w:r w:rsidR="00E6621F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po novoj osnovici</w:t>
      </w:r>
      <w:r w:rsidR="00E6621F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od </w:t>
      </w:r>
      <w:r w:rsidR="00F865C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789,25</w:t>
      </w:r>
      <w:r w:rsidR="00C12C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F865C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eura</w:t>
      </w:r>
      <w:r w:rsidR="00E6621F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F865C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 jedna</w:t>
      </w:r>
      <w:r w:rsidR="00C12C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, ujedno i </w:t>
      </w:r>
      <w:r w:rsidR="00F865C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trinaesta plaća </w:t>
      </w:r>
      <w:r w:rsidR="00C12C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</w:t>
      </w:r>
      <w:r w:rsidR="00F865C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osnovic</w:t>
      </w:r>
      <w:r w:rsidR="00C12C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om</w:t>
      </w:r>
      <w:r w:rsidR="00F865C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od 947,18 eura.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6860F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Povećan je broj zaposlenih za četiri osobe u novoj zgradi</w:t>
      </w:r>
      <w:r w:rsidR="00F865C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, </w:t>
      </w:r>
      <w:r w:rsidR="004055C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materijalna prava zaposlenika ( regres za godišnji odmor 300 eura po zaposleniku , prigodne nagrade – za Uskršnje blagdane 100 eura po osobi</w:t>
      </w:r>
      <w:r w:rsidR="00F865C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, Božićnica  300 eura po osobi </w:t>
      </w:r>
      <w:r w:rsidR="00F41ED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iznosi jubilarnih nagrada i dr.</w:t>
      </w:r>
      <w:r w:rsidR="004055CD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) .</w:t>
      </w:r>
    </w:p>
    <w:p w14:paraId="4E1C47D6" w14:textId="4B7F4849" w:rsidR="001E4E56" w:rsidRPr="00866FED" w:rsidRDefault="001E4E56" w:rsidP="00B53E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Rashodi za zaposlene financiraju se iz više izvora. Glavninu rashoda zaposlenih financira Osnivač (izvor 1100)  za 64 zaposlena , dva</w:t>
      </w:r>
      <w:r w:rsidR="00C12C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zaposlenika županijske bibliobusne službe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se financiraju iz Primorsko – goranske županije ( izvor 5720) , dvoje zaposlenika Matične službe knjižnice financira se  iz državnog proračuna tj. Ministarstva kulture i medija ( izvor 5710), po jedan knjižnica iz općina Čavle i Omišalj (izvor 5720) i </w:t>
      </w:r>
      <w:r w:rsidR="00C12C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dva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zaposlenika </w:t>
      </w:r>
      <w:r w:rsidR="00C12C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koja ne financira proračun osnivača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iz prihoda za posebne namjene ( izvor 4400) .</w:t>
      </w:r>
    </w:p>
    <w:p w14:paraId="1F032286" w14:textId="0FD2F376" w:rsidR="006A736F" w:rsidRPr="00866FED" w:rsidRDefault="00A50B83" w:rsidP="00B53E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32 – Materijalni rashodi </w:t>
      </w:r>
      <w:r w:rsidR="00C12C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- </w:t>
      </w:r>
      <w:r w:rsidR="00B9747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ostvarenje je </w:t>
      </w:r>
      <w:r w:rsidR="00C12C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71,22</w:t>
      </w:r>
      <w:r w:rsidR="00B53E22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</w:t>
      </w:r>
      <w:r w:rsidR="002633F9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Za sad još uvijek Gradska knjižnica nema u potpunosti riješene vlasničko-pravne odnose, te </w:t>
      </w:r>
      <w:r w:rsidR="004A7C4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s</w:t>
      </w:r>
      <w:r w:rsidR="002633F9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e dio režija još uvijek podmiruje </w:t>
      </w:r>
      <w:r w:rsidR="004A7C4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na teret </w:t>
      </w:r>
      <w:r w:rsidR="002633F9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Grad</w:t>
      </w:r>
      <w:r w:rsidR="004A7C4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2633F9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Rijek</w:t>
      </w:r>
      <w:r w:rsidR="004A7C4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</w:t>
      </w:r>
      <w:r w:rsidR="00C12C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</w:t>
      </w:r>
      <w:r w:rsidR="002633F9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Rashodi režija za novi objekt </w:t>
      </w:r>
      <w:r w:rsidR="004A7C4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planirani su </w:t>
      </w:r>
      <w:r w:rsidR="002633F9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za 2024.g.</w:t>
      </w:r>
      <w:r w:rsidR="004A7C4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ali se to nije moglo realizirati.</w:t>
      </w:r>
      <w:r w:rsidR="00204C74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Dio sredstva </w:t>
      </w:r>
      <w:r w:rsidR="004A7C4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za ovu aktivnost </w:t>
      </w:r>
      <w:r w:rsidR="00204C74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iz Odluke o raspodjeli rezultata za 2023.g. zamijenjen je trošenjem iz novog izvora, pa je izvršenj</w:t>
      </w:r>
      <w:r w:rsid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e</w:t>
      </w:r>
      <w:r w:rsidR="00204C74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na planiranim rashodima viška </w:t>
      </w:r>
      <w:r w:rsidR="004A7C4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ove aktivnosti </w:t>
      </w:r>
      <w:r w:rsid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samo </w:t>
      </w:r>
      <w:r w:rsidR="00204C74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22,52%.</w:t>
      </w:r>
    </w:p>
    <w:p w14:paraId="340F2BFE" w14:textId="35AF2DFC" w:rsidR="009F08FF" w:rsidRDefault="00A50B83" w:rsidP="00B53E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34 - F</w:t>
      </w:r>
      <w:r w:rsidR="009F08FF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inancijsk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</w:t>
      </w:r>
      <w:r w:rsidR="009F08FF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rashodi </w:t>
      </w:r>
      <w:r w:rsidR="002633F9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- </w:t>
      </w:r>
      <w:r w:rsidR="009F08FF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ostvarenje je </w:t>
      </w:r>
      <w:r w:rsidR="00C12C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78,07</w:t>
      </w:r>
      <w:r w:rsidR="009F08FF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% za </w:t>
      </w:r>
      <w:r w:rsidR="00C12C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zatezne kamate te </w:t>
      </w:r>
      <w:r w:rsidR="009F08FF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bankarske usluge i naknade.</w:t>
      </w:r>
    </w:p>
    <w:p w14:paraId="20FAC584" w14:textId="0A40AAB6" w:rsidR="008C4317" w:rsidRPr="008C4317" w:rsidRDefault="008C4317" w:rsidP="00B53E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</w:pPr>
      <w:r w:rsidRPr="008C431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4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</w:t>
      </w:r>
      <w:r w:rsidRPr="008C431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-</w:t>
      </w:r>
      <w:r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 R</w:t>
      </w:r>
      <w:r w:rsidRPr="008C4317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 xml:space="preserve">ashodi za nabavu nefinancijske imovine </w:t>
      </w:r>
    </w:p>
    <w:p w14:paraId="6A4230E3" w14:textId="6E52CB2A" w:rsidR="002633F9" w:rsidRPr="00866FED" w:rsidRDefault="002633F9" w:rsidP="00B53E22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42 - </w:t>
      </w:r>
      <w:r w:rsidR="00B53E22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Na rashodima za nabavu nefinancijske imovine ostvareno je </w:t>
      </w:r>
      <w:r w:rsidR="00204C74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88,53</w:t>
      </w:r>
      <w:r w:rsidR="009F08FF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%</w:t>
      </w:r>
      <w:r w:rsidR="00B53E22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</w:t>
      </w:r>
      <w:r w:rsidR="00D32DE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Nabava opreme ostvarena je u </w:t>
      </w:r>
      <w:r w:rsidR="00C12C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70,74</w:t>
      </w:r>
      <w:r w:rsidR="00D32DE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% od plana ,  a n</w:t>
      </w:r>
      <w:r w:rsidR="00B53E22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abava knjiga  u </w:t>
      </w:r>
      <w:r w:rsidR="00C12C5E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90,93</w:t>
      </w:r>
      <w:r w:rsidR="00B53E22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% </w:t>
      </w:r>
      <w:r w:rsidR="00204C74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. Neutrošeni dio sredstava rezultat je </w:t>
      </w:r>
      <w:r w:rsidR="00D32DE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planiranj</w:t>
      </w:r>
      <w:r w:rsidR="004A7C47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="00D32DE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rashoda za</w:t>
      </w:r>
      <w:r w:rsidR="00204C74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nabavu opreme i knjiga kroz novi izvor 5200  </w:t>
      </w:r>
      <w:r w:rsidR="00D32DE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i kroz Odluku o raspodjeli rezultata za 2023. godinu  koja je usvojena 8.7.2024.</w:t>
      </w:r>
      <w:r w:rsidR="00B53E22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="00D32DE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pa se </w:t>
      </w:r>
      <w:r w:rsidR="00204C74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dio </w:t>
      </w:r>
      <w:r w:rsidR="00B53E22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nabava</w:t>
      </w:r>
      <w:r w:rsidR="00D32DE7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nefinancijske imovine ( pozornica, dodatna sredstva za knjige)  </w:t>
      </w:r>
      <w:r w:rsidR="00204C74"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planiran kroz odluku o raspodjeli utrošio iz novog izvora ostvarenog tijekom studenog i prosinca 2024.g. ( ostvarenje rashoda za opremu iz viška je  4,18% , a za knjige 83,44%) . </w:t>
      </w:r>
    </w:p>
    <w:p w14:paraId="4DB5D855" w14:textId="2601E97F" w:rsidR="006A736F" w:rsidRPr="00866FED" w:rsidRDefault="006A736F" w:rsidP="006A736F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70580765" w14:textId="77777777" w:rsidR="00611528" w:rsidRPr="00866FED" w:rsidRDefault="00611528" w:rsidP="00A81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09D93D41" w14:textId="41BC8A17" w:rsidR="00611528" w:rsidRPr="00866FED" w:rsidRDefault="00611528" w:rsidP="00A81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B</w:t>
      </w:r>
      <w:r w:rsidR="00F01D3D" w:rsidRPr="00866FED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 </w:t>
      </w:r>
      <w:r w:rsidRPr="00866FED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- RAČUN FINANCIRANJA</w:t>
      </w:r>
    </w:p>
    <w:p w14:paraId="12E2B476" w14:textId="77777777" w:rsidR="00611528" w:rsidRPr="00866FED" w:rsidRDefault="00611528" w:rsidP="00A81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</w:p>
    <w:p w14:paraId="3F362471" w14:textId="160902F2" w:rsidR="008A50BE" w:rsidRPr="00866FED" w:rsidRDefault="008A50BE" w:rsidP="00A81EC8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Ustanova nema podataka </w:t>
      </w:r>
      <w:r w:rsidR="0074536B" w:rsidRPr="00866FED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 xml:space="preserve">vezanih </w:t>
      </w:r>
      <w:r w:rsidRPr="00866FED">
        <w:rPr>
          <w:rFonts w:ascii="Arial" w:eastAsia="Times New Roman" w:hAnsi="Arial" w:cs="Arial"/>
          <w:b/>
          <w:bCs/>
          <w:color w:val="222222"/>
          <w:sz w:val="24"/>
          <w:szCs w:val="24"/>
          <w:lang w:eastAsia="hr-HR"/>
        </w:rPr>
        <w:t>za račun financiranja .</w:t>
      </w:r>
    </w:p>
    <w:p w14:paraId="699B1197" w14:textId="77777777" w:rsidR="007606D7" w:rsidRPr="00866FED" w:rsidRDefault="007606D7" w:rsidP="00C95E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</w:p>
    <w:p w14:paraId="18F73330" w14:textId="62A7E4D5" w:rsidR="00C95E16" w:rsidRPr="00866FED" w:rsidRDefault="00C95E16" w:rsidP="00C95E1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eastAsia="hr-HR"/>
        </w:rPr>
      </w:pPr>
      <w:r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Ustanova nema potraživanja niti obveza po osnovi danih zajmova niti primljenih kredita, financijskih lizinga i slično</w:t>
      </w:r>
      <w:r w:rsidR="003C6985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="008F31DD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kao što je prezentirano u </w:t>
      </w:r>
      <w:r w:rsidR="003C6985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Izvještajnoj tablici </w:t>
      </w:r>
      <w:r w:rsidR="0074536B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na</w:t>
      </w:r>
      <w:r w:rsidR="003C6985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list</w:t>
      </w:r>
      <w:r w:rsidR="008F31DD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ovima</w:t>
      </w:r>
      <w:r w:rsidR="003C6985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</w:t>
      </w:r>
      <w:r w:rsidR="008F31DD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„</w:t>
      </w:r>
      <w:r w:rsidR="00042854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Račun financiranja</w:t>
      </w:r>
      <w:r w:rsidR="008F31DD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“, „Račun financiranja prema izvorima financiranja“ </w:t>
      </w:r>
      <w:r w:rsidR="0036532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,</w:t>
      </w:r>
      <w:r w:rsidR="008F31DD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„</w:t>
      </w:r>
      <w:r w:rsidR="0036532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Stanje obveza</w:t>
      </w:r>
      <w:r w:rsidR="008F31DD" w:rsidRPr="00866FED">
        <w:rPr>
          <w:rFonts w:ascii="Arial" w:eastAsia="Times New Roman" w:hAnsi="Arial" w:cs="Arial"/>
          <w:color w:val="222222"/>
          <w:sz w:val="24"/>
          <w:szCs w:val="24"/>
          <w:lang w:eastAsia="hr-HR"/>
        </w:rPr>
        <w:t>“</w:t>
      </w:r>
      <w:r w:rsidR="00365329">
        <w:rPr>
          <w:rFonts w:ascii="Arial" w:eastAsia="Times New Roman" w:hAnsi="Arial" w:cs="Arial"/>
          <w:color w:val="222222"/>
          <w:sz w:val="24"/>
          <w:szCs w:val="24"/>
          <w:lang w:eastAsia="hr-HR"/>
        </w:rPr>
        <w:t xml:space="preserve"> i „Stanje potraživanja“ .</w:t>
      </w:r>
    </w:p>
    <w:p w14:paraId="5E73811E" w14:textId="77777777" w:rsidR="00C95E16" w:rsidRPr="00866FED" w:rsidRDefault="00C95E16" w:rsidP="00C95E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102D3D15" w14:textId="77777777" w:rsidR="00C95E16" w:rsidRPr="00866FED" w:rsidRDefault="00C95E16" w:rsidP="00C95E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hr-HR"/>
        </w:rPr>
      </w:pPr>
    </w:p>
    <w:p w14:paraId="11B376C0" w14:textId="77777777" w:rsidR="00FA6000" w:rsidRPr="00866FED" w:rsidRDefault="00FA6000" w:rsidP="00FA6000">
      <w:pPr>
        <w:spacing w:after="0" w:line="240" w:lineRule="auto"/>
        <w:rPr>
          <w:rFonts w:ascii="Arial" w:eastAsia="Calibri" w:hAnsi="Arial" w:cs="Arial"/>
          <w:b/>
          <w:sz w:val="24"/>
          <w:szCs w:val="24"/>
        </w:rPr>
      </w:pPr>
    </w:p>
    <w:p w14:paraId="06912FBF" w14:textId="77777777" w:rsidR="00B02C74" w:rsidRPr="00866FED" w:rsidRDefault="003227E8">
      <w:pPr>
        <w:rPr>
          <w:rFonts w:ascii="Arial" w:hAnsi="Arial" w:cs="Arial"/>
          <w:sz w:val="24"/>
          <w:szCs w:val="24"/>
        </w:rPr>
      </w:pPr>
      <w:r w:rsidRPr="00866FED">
        <w:rPr>
          <w:rFonts w:ascii="Arial" w:hAnsi="Arial" w:cs="Arial"/>
          <w:b/>
          <w:bCs/>
          <w:sz w:val="24"/>
          <w:szCs w:val="24"/>
        </w:rPr>
        <w:t xml:space="preserve">PROGRAMSKA KLASIFIKACIJA </w:t>
      </w:r>
      <w:r w:rsidRPr="00866FED">
        <w:rPr>
          <w:rFonts w:ascii="Arial" w:hAnsi="Arial" w:cs="Arial"/>
          <w:sz w:val="24"/>
          <w:szCs w:val="24"/>
        </w:rPr>
        <w:t>:</w:t>
      </w:r>
      <w:r w:rsidR="004D7E64" w:rsidRPr="00866FED">
        <w:rPr>
          <w:rFonts w:ascii="Arial" w:hAnsi="Arial" w:cs="Arial"/>
          <w:sz w:val="24"/>
          <w:szCs w:val="24"/>
        </w:rPr>
        <w:tab/>
      </w:r>
    </w:p>
    <w:p w14:paraId="6FFC0FCD" w14:textId="04F3F536" w:rsidR="002B5BD2" w:rsidRPr="00866FED" w:rsidRDefault="002B5BD2" w:rsidP="00866FED">
      <w:pPr>
        <w:jc w:val="both"/>
        <w:rPr>
          <w:rFonts w:ascii="Arial" w:hAnsi="Arial" w:cs="Arial"/>
          <w:sz w:val="24"/>
          <w:szCs w:val="24"/>
        </w:rPr>
      </w:pPr>
      <w:r w:rsidRPr="00866FED">
        <w:rPr>
          <w:rFonts w:ascii="Arial" w:hAnsi="Arial" w:cs="Arial"/>
          <w:sz w:val="24"/>
          <w:szCs w:val="24"/>
        </w:rPr>
        <w:lastRenderedPageBreak/>
        <w:t xml:space="preserve">Detaljni rashodi po programskoj klasifikaciji detaljno su popisani u Oglednoj tablici izvještaja – Programska klasifikacija . Važni je napomenuti da ustanova od ove godine ima dodatnih programskih aktivnosti </w:t>
      </w:r>
      <w:r w:rsidR="00866FED">
        <w:rPr>
          <w:rFonts w:ascii="Arial" w:hAnsi="Arial" w:cs="Arial"/>
          <w:sz w:val="24"/>
          <w:szCs w:val="24"/>
        </w:rPr>
        <w:t>, te se uz</w:t>
      </w:r>
      <w:r w:rsidRPr="00866FED">
        <w:rPr>
          <w:rFonts w:ascii="Arial" w:hAnsi="Arial" w:cs="Arial"/>
          <w:sz w:val="24"/>
          <w:szCs w:val="24"/>
        </w:rPr>
        <w:t xml:space="preserve"> Programsku aktivnost</w:t>
      </w:r>
      <w:r w:rsidR="00866FED">
        <w:rPr>
          <w:rFonts w:ascii="Arial" w:hAnsi="Arial" w:cs="Arial"/>
          <w:sz w:val="24"/>
          <w:szCs w:val="24"/>
        </w:rPr>
        <w:t xml:space="preserve"> A118703</w:t>
      </w:r>
      <w:r w:rsidRPr="00866FED">
        <w:rPr>
          <w:rFonts w:ascii="Arial" w:hAnsi="Arial" w:cs="Arial"/>
          <w:sz w:val="24"/>
          <w:szCs w:val="24"/>
        </w:rPr>
        <w:t xml:space="preserve"> ustanove  </w:t>
      </w:r>
      <w:r w:rsidR="00866FED">
        <w:rPr>
          <w:rFonts w:ascii="Arial" w:hAnsi="Arial" w:cs="Arial"/>
          <w:sz w:val="24"/>
          <w:szCs w:val="24"/>
        </w:rPr>
        <w:t>od 2024.g. program</w:t>
      </w:r>
      <w:r w:rsidR="004A7C47">
        <w:rPr>
          <w:rFonts w:ascii="Arial" w:hAnsi="Arial" w:cs="Arial"/>
          <w:sz w:val="24"/>
          <w:szCs w:val="24"/>
        </w:rPr>
        <w:t>i</w:t>
      </w:r>
      <w:r w:rsidR="00866FED">
        <w:rPr>
          <w:rFonts w:ascii="Arial" w:hAnsi="Arial" w:cs="Arial"/>
          <w:sz w:val="24"/>
          <w:szCs w:val="24"/>
        </w:rPr>
        <w:t xml:space="preserve"> Ljet</w:t>
      </w:r>
      <w:r w:rsidR="004A7C47">
        <w:rPr>
          <w:rFonts w:ascii="Arial" w:hAnsi="Arial" w:cs="Arial"/>
          <w:sz w:val="24"/>
          <w:szCs w:val="24"/>
        </w:rPr>
        <w:t>a</w:t>
      </w:r>
      <w:r w:rsidR="00866FED">
        <w:rPr>
          <w:rFonts w:ascii="Arial" w:hAnsi="Arial" w:cs="Arial"/>
          <w:sz w:val="24"/>
          <w:szCs w:val="24"/>
        </w:rPr>
        <w:t xml:space="preserve"> u Benčiću odvijaju u </w:t>
      </w:r>
      <w:r w:rsidR="00365329">
        <w:rPr>
          <w:rFonts w:ascii="Arial" w:hAnsi="Arial" w:cs="Arial"/>
          <w:sz w:val="24"/>
          <w:szCs w:val="24"/>
        </w:rPr>
        <w:t>zasebnoj</w:t>
      </w:r>
      <w:r w:rsidR="00866FED">
        <w:rPr>
          <w:rFonts w:ascii="Arial" w:hAnsi="Arial" w:cs="Arial"/>
          <w:sz w:val="24"/>
          <w:szCs w:val="24"/>
        </w:rPr>
        <w:t xml:space="preserve"> aktivnosti A118723</w:t>
      </w:r>
      <w:r w:rsidRPr="00866FED">
        <w:rPr>
          <w:rFonts w:ascii="Arial" w:hAnsi="Arial" w:cs="Arial"/>
          <w:sz w:val="24"/>
          <w:szCs w:val="24"/>
        </w:rPr>
        <w:t xml:space="preserve"> Ljetni program.</w:t>
      </w:r>
    </w:p>
    <w:p w14:paraId="70840B35" w14:textId="5E601EA7" w:rsidR="004A7C47" w:rsidRPr="004A7C47" w:rsidRDefault="004A7C47" w:rsidP="004A7C47">
      <w:pPr>
        <w:pStyle w:val="Opisslike"/>
        <w:keepNext/>
        <w:rPr>
          <w:rFonts w:ascii="Arial" w:hAnsi="Arial" w:cs="Arial"/>
          <w:i w:val="0"/>
          <w:iCs w:val="0"/>
          <w:color w:val="auto"/>
        </w:rPr>
      </w:pPr>
      <w:r w:rsidRPr="004A7C47">
        <w:rPr>
          <w:rFonts w:ascii="Arial" w:hAnsi="Arial" w:cs="Arial"/>
          <w:i w:val="0"/>
          <w:iCs w:val="0"/>
          <w:color w:val="auto"/>
        </w:rPr>
        <w:t xml:space="preserve">Tablica </w:t>
      </w:r>
      <w:r w:rsidRPr="004A7C47">
        <w:rPr>
          <w:rFonts w:ascii="Arial" w:hAnsi="Arial" w:cs="Arial"/>
          <w:i w:val="0"/>
          <w:iCs w:val="0"/>
          <w:color w:val="auto"/>
        </w:rPr>
        <w:fldChar w:fldCharType="begin"/>
      </w:r>
      <w:r w:rsidRPr="004A7C47">
        <w:rPr>
          <w:rFonts w:ascii="Arial" w:hAnsi="Arial" w:cs="Arial"/>
          <w:i w:val="0"/>
          <w:iCs w:val="0"/>
          <w:color w:val="auto"/>
        </w:rPr>
        <w:instrText xml:space="preserve"> SEQ Tablica \* ARABIC </w:instrText>
      </w:r>
      <w:r w:rsidRPr="004A7C47">
        <w:rPr>
          <w:rFonts w:ascii="Arial" w:hAnsi="Arial" w:cs="Arial"/>
          <w:i w:val="0"/>
          <w:iCs w:val="0"/>
          <w:color w:val="auto"/>
        </w:rPr>
        <w:fldChar w:fldCharType="separate"/>
      </w:r>
      <w:r w:rsidRPr="004A7C47">
        <w:rPr>
          <w:rFonts w:ascii="Arial" w:hAnsi="Arial" w:cs="Arial"/>
          <w:i w:val="0"/>
          <w:iCs w:val="0"/>
          <w:noProof/>
          <w:color w:val="auto"/>
        </w:rPr>
        <w:t>3</w:t>
      </w:r>
      <w:r w:rsidRPr="004A7C47">
        <w:rPr>
          <w:rFonts w:ascii="Arial" w:hAnsi="Arial" w:cs="Arial"/>
          <w:i w:val="0"/>
          <w:iCs w:val="0"/>
          <w:color w:val="auto"/>
        </w:rPr>
        <w:fldChar w:fldCharType="end"/>
      </w:r>
      <w:r w:rsidRPr="004A7C47">
        <w:rPr>
          <w:rFonts w:ascii="Arial" w:hAnsi="Arial" w:cs="Arial"/>
          <w:i w:val="0"/>
          <w:iCs w:val="0"/>
          <w:color w:val="auto"/>
        </w:rPr>
        <w:t xml:space="preserve">  Aktivnosti – Izvršenje financijskog plana 2024</w:t>
      </w:r>
      <w:r>
        <w:t>.</w:t>
      </w:r>
    </w:p>
    <w:tbl>
      <w:tblPr>
        <w:tblW w:w="9351" w:type="dxa"/>
        <w:tblLayout w:type="fixed"/>
        <w:tblLook w:val="04A0" w:firstRow="1" w:lastRow="0" w:firstColumn="1" w:lastColumn="0" w:noHBand="0" w:noVBand="1"/>
      </w:tblPr>
      <w:tblGrid>
        <w:gridCol w:w="4248"/>
        <w:gridCol w:w="1701"/>
        <w:gridCol w:w="1984"/>
        <w:gridCol w:w="1418"/>
      </w:tblGrid>
      <w:tr w:rsidR="006C4E7F" w:rsidRPr="003D7D31" w14:paraId="42219149" w14:textId="77777777" w:rsidTr="006C4E7F">
        <w:trPr>
          <w:trHeight w:val="420"/>
        </w:trPr>
        <w:tc>
          <w:tcPr>
            <w:tcW w:w="4248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FF767B" w14:textId="77777777" w:rsidR="003D7D31" w:rsidRPr="006C4E7F" w:rsidRDefault="003D7D31" w:rsidP="003D7D31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AKTIVNOST </w:t>
            </w:r>
            <w:r w:rsidRPr="006C4E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 xml:space="preserve">– OPIS </w:t>
            </w:r>
          </w:p>
          <w:p w14:paraId="514ED740" w14:textId="66713116" w:rsidR="003D7D31" w:rsidRPr="003D7D31" w:rsidRDefault="003D7D31" w:rsidP="003D7D31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4E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170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498415B" w14:textId="77777777" w:rsidR="003D7D31" w:rsidRPr="006C4E7F" w:rsidRDefault="003D7D31" w:rsidP="003D7D31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Plan 2024</w:t>
            </w:r>
          </w:p>
          <w:p w14:paraId="58A49275" w14:textId="2D346ABE" w:rsidR="003D7D31" w:rsidRPr="003D7D31" w:rsidRDefault="003D7D31" w:rsidP="003D7D31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4E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1DA130D" w14:textId="77777777" w:rsidR="003D7D31" w:rsidRPr="006C4E7F" w:rsidRDefault="003D7D31" w:rsidP="003D7D31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Ostvarenje 2024</w:t>
            </w:r>
          </w:p>
          <w:p w14:paraId="3C937509" w14:textId="0619BCA2" w:rsidR="003D7D31" w:rsidRPr="003D7D31" w:rsidRDefault="003D7D31" w:rsidP="003D7D31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4E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3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10217D" w14:textId="77777777" w:rsidR="003D7D31" w:rsidRPr="006C4E7F" w:rsidRDefault="003D7D31" w:rsidP="003D7D31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 (3./2.)</w:t>
            </w:r>
          </w:p>
          <w:p w14:paraId="7FFDAEA3" w14:textId="3F3CC1D2" w:rsidR="003D7D31" w:rsidRPr="003D7D31" w:rsidRDefault="003D7D31" w:rsidP="003D7D31">
            <w:pPr>
              <w:spacing w:after="0" w:line="240" w:lineRule="auto"/>
              <w:ind w:firstLineChars="100" w:firstLine="201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6C4E7F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4</w:t>
            </w:r>
          </w:p>
        </w:tc>
      </w:tr>
      <w:tr w:rsidR="00517DFC" w:rsidRPr="00866FED" w14:paraId="1E326B3A" w14:textId="77777777" w:rsidTr="006C4E7F">
        <w:trPr>
          <w:trHeight w:val="264"/>
        </w:trPr>
        <w:tc>
          <w:tcPr>
            <w:tcW w:w="424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CF70EB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SVEUKUPNO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2BA137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2.962.533,00</w:t>
            </w:r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DD49D82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2.675.473,09</w:t>
            </w:r>
          </w:p>
        </w:tc>
        <w:tc>
          <w:tcPr>
            <w:tcW w:w="1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0AB7EF6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90,31</w:t>
            </w:r>
          </w:p>
        </w:tc>
      </w:tr>
      <w:tr w:rsidR="00517DFC" w:rsidRPr="00866FED" w14:paraId="1534119A" w14:textId="77777777" w:rsidTr="006C4E7F">
        <w:trPr>
          <w:trHeight w:val="26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484AF8" w14:textId="77777777" w:rsidR="003D7D31" w:rsidRPr="003D7D31" w:rsidRDefault="003D7D31" w:rsidP="003D7D31">
            <w:pPr>
              <w:spacing w:after="0" w:line="240" w:lineRule="auto"/>
              <w:ind w:firstLineChars="500" w:firstLine="10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31075 GRADSKA KNJIŽNICA RIJEKA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70B6BA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2.962.533,00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1EE4F8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2.675.473,09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42F169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90,31</w:t>
            </w:r>
          </w:p>
        </w:tc>
      </w:tr>
      <w:tr w:rsidR="00517DFC" w:rsidRPr="00866FED" w14:paraId="6EECC601" w14:textId="77777777" w:rsidTr="006C4E7F">
        <w:trPr>
          <w:trHeight w:val="26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9940D3A" w14:textId="77777777" w:rsidR="003D7D31" w:rsidRPr="003D7D31" w:rsidRDefault="003D7D31" w:rsidP="003D7D3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1187 REDOVNA DJELATNOST USTANOVE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FCC1A1A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2.957.613,00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24121B7B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2.675.473,09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5B514D3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90,46</w:t>
            </w:r>
          </w:p>
        </w:tc>
      </w:tr>
      <w:tr w:rsidR="00517DFC" w:rsidRPr="00866FED" w14:paraId="729E95F9" w14:textId="77777777" w:rsidTr="006C4E7F">
        <w:trPr>
          <w:trHeight w:val="52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C750F06" w14:textId="77777777" w:rsidR="003D7D31" w:rsidRPr="003D7D31" w:rsidRDefault="003D7D31" w:rsidP="003D7D3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A118701 STRUČNO, ADMINISTRATIVNO I TEHNIČKO OSOBLJE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1CE19FF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1.791.999,00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AC803AF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1.741.400,18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6422552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97,18</w:t>
            </w:r>
          </w:p>
        </w:tc>
      </w:tr>
      <w:tr w:rsidR="00517DFC" w:rsidRPr="00866FED" w14:paraId="6CF07E5E" w14:textId="77777777" w:rsidTr="006C4E7F">
        <w:trPr>
          <w:trHeight w:val="26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8EC73D5" w14:textId="77777777" w:rsidR="003D7D31" w:rsidRPr="003D7D31" w:rsidRDefault="003D7D31" w:rsidP="003D7D3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A118702 REDOVNA DJELATNOST USTANOVE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248E51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523.211,00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F748E65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372.625,17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58791C7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71,22</w:t>
            </w:r>
          </w:p>
        </w:tc>
      </w:tr>
      <w:tr w:rsidR="00517DFC" w:rsidRPr="00866FED" w14:paraId="0243A630" w14:textId="77777777" w:rsidTr="006C4E7F">
        <w:trPr>
          <w:trHeight w:val="26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12CDEBF" w14:textId="77777777" w:rsidR="003D7D31" w:rsidRPr="003D7D31" w:rsidRDefault="003D7D31" w:rsidP="003D7D3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A118703 PROGRAMSKE AKTIVNOSTI USTANOVE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16A364F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152.816,00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2B21DE9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123.494,18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3249BC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80,81</w:t>
            </w:r>
          </w:p>
        </w:tc>
      </w:tr>
      <w:tr w:rsidR="00517DFC" w:rsidRPr="00866FED" w14:paraId="49CA17D4" w14:textId="77777777" w:rsidTr="006C4E7F">
        <w:trPr>
          <w:trHeight w:val="26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84B40B2" w14:textId="77777777" w:rsidR="003D7D31" w:rsidRPr="003D7D31" w:rsidRDefault="003D7D31" w:rsidP="003D7D3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A118709 ZAŠTITA KNJIŽNE GRAĐE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9FDF4E2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5.973,00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EA87B90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5.963,29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09907B9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99,84</w:t>
            </w:r>
          </w:p>
        </w:tc>
      </w:tr>
      <w:tr w:rsidR="00517DFC" w:rsidRPr="00866FED" w14:paraId="1A8AE4E2" w14:textId="77777777" w:rsidTr="006C4E7F">
        <w:trPr>
          <w:trHeight w:val="26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900EEC3" w14:textId="77777777" w:rsidR="003D7D31" w:rsidRPr="003D7D31" w:rsidRDefault="003D7D31" w:rsidP="003D7D3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A118723 LJETNI PROGRAM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3D4AB5E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0BF3101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35.000,00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1C7D6DE" w14:textId="4FDA74D9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100</w:t>
            </w:r>
            <w:r w:rsidR="00365329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,00</w:t>
            </w:r>
          </w:p>
        </w:tc>
      </w:tr>
      <w:tr w:rsidR="00517DFC" w:rsidRPr="00866FED" w14:paraId="3729FD9E" w14:textId="77777777" w:rsidTr="006C4E7F">
        <w:trPr>
          <w:trHeight w:val="26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D7B6AAC" w14:textId="77777777" w:rsidR="003D7D31" w:rsidRPr="003D7D31" w:rsidRDefault="003D7D31" w:rsidP="003D7D3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K118705 NABAVA KNJIŽNE GRAĐE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2B827A4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402.476,00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4DD5B2A4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363.579,16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A332548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90,34</w:t>
            </w:r>
          </w:p>
        </w:tc>
      </w:tr>
      <w:tr w:rsidR="00517DFC" w:rsidRPr="00866FED" w14:paraId="1E6D1E46" w14:textId="77777777" w:rsidTr="006C4E7F">
        <w:trPr>
          <w:trHeight w:val="26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60F374A8" w14:textId="77777777" w:rsidR="003D7D31" w:rsidRPr="003D7D31" w:rsidRDefault="003D7D31" w:rsidP="003D7D3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K118710 NABAVKA OPREME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6CF3E33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46.138,00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7921D52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33.411,11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0B7B90C2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72,42</w:t>
            </w:r>
          </w:p>
        </w:tc>
      </w:tr>
      <w:tr w:rsidR="00517DFC" w:rsidRPr="00866FED" w14:paraId="68A77A82" w14:textId="77777777" w:rsidTr="006C4E7F">
        <w:trPr>
          <w:trHeight w:val="264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B2F14F5" w14:textId="77777777" w:rsidR="003D7D31" w:rsidRPr="003D7D31" w:rsidRDefault="003D7D31" w:rsidP="003D7D3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1412 EUROPSKI PROJEKTI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3843D751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4.920,00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DA80FE0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375C8DC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  <w:tr w:rsidR="00517DFC" w:rsidRPr="00866FED" w14:paraId="45A1E97D" w14:textId="77777777" w:rsidTr="006C4E7F">
        <w:trPr>
          <w:trHeight w:val="528"/>
        </w:trPr>
        <w:tc>
          <w:tcPr>
            <w:tcW w:w="424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7C13BE37" w14:textId="77777777" w:rsidR="003D7D31" w:rsidRPr="003D7D31" w:rsidRDefault="003D7D31" w:rsidP="003D7D31">
            <w:pPr>
              <w:spacing w:after="0" w:line="240" w:lineRule="auto"/>
              <w:ind w:firstLineChars="200" w:firstLine="4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T141201 ERASMUS+ AKREDITACIJE -KA120 - ADU - Obrazovanje odraslih - EU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C7540E3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4.920,00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59471683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  <w:hideMark/>
          </w:tcPr>
          <w:p w14:paraId="17377576" w14:textId="77777777" w:rsidR="003D7D31" w:rsidRPr="003D7D31" w:rsidRDefault="003D7D31" w:rsidP="003D7D31">
            <w:pPr>
              <w:spacing w:after="0" w:line="240" w:lineRule="auto"/>
              <w:ind w:firstLineChars="100" w:firstLine="200"/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</w:pPr>
            <w:r w:rsidRPr="003D7D31">
              <w:rPr>
                <w:rFonts w:ascii="Arial" w:eastAsia="Times New Roman" w:hAnsi="Arial" w:cs="Arial"/>
                <w:color w:val="000000"/>
                <w:sz w:val="20"/>
                <w:szCs w:val="20"/>
                <w:lang w:eastAsia="hr-HR"/>
              </w:rPr>
              <w:t> </w:t>
            </w:r>
          </w:p>
        </w:tc>
      </w:tr>
    </w:tbl>
    <w:p w14:paraId="05555238" w14:textId="77777777" w:rsidR="00B02C74" w:rsidRPr="00866FED" w:rsidRDefault="00B02C74">
      <w:pPr>
        <w:rPr>
          <w:rFonts w:ascii="Arial" w:hAnsi="Arial" w:cs="Arial"/>
          <w:sz w:val="24"/>
          <w:szCs w:val="24"/>
        </w:rPr>
      </w:pPr>
    </w:p>
    <w:p w14:paraId="2A9AB7DE" w14:textId="77777777" w:rsidR="002B5BD2" w:rsidRPr="00866FED" w:rsidRDefault="002B5BD2">
      <w:pPr>
        <w:rPr>
          <w:rFonts w:ascii="Arial" w:hAnsi="Arial" w:cs="Arial"/>
          <w:sz w:val="24"/>
          <w:szCs w:val="24"/>
        </w:rPr>
      </w:pPr>
    </w:p>
    <w:p w14:paraId="2190681E" w14:textId="19439F9C" w:rsidR="002350D9" w:rsidRDefault="002350D9" w:rsidP="00517DFC">
      <w:pPr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</w:pPr>
      <w:r w:rsidRPr="008C417E">
        <w:rPr>
          <w:rFonts w:ascii="Arial" w:hAnsi="Arial" w:cs="Arial"/>
          <w:b/>
          <w:bCs/>
          <w:sz w:val="24"/>
          <w:szCs w:val="24"/>
        </w:rPr>
        <w:t>A118701 – Stručno, administrativno i tehničko osoblje</w:t>
      </w:r>
      <w:r>
        <w:rPr>
          <w:rFonts w:ascii="Arial" w:hAnsi="Arial" w:cs="Arial"/>
          <w:sz w:val="24"/>
          <w:szCs w:val="24"/>
        </w:rPr>
        <w:t xml:space="preserve"> – izvršenje je 97,18% .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U rashodi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ma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plać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a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u godišnjem razdoblju izvršenja 2024.g.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tri različite osnovice</w:t>
      </w:r>
      <w:r w:rsidR="00365329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-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661,57 eura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,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789,25 eura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i 947,18 eura.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Povećan je broj zaposlenih za četiri osobe u novoj zgradi, 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povećana su </w:t>
      </w:r>
      <w:r w:rsidRPr="00866FE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materijalna prava zaposlenika ( regres za godišnji odmor 300 eura po zaposleniku , prigodne nagrade – za Uskršnje blagdane 100 eura po osobi, Božićnica  300 eura po osobi , iznosi jubilarnih nagrada i dr.)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 Ustanova je ukupno realizirala rashode plaća za ukupno 71 zaposlenog , od toga dvoje na dužem bolovanju.</w:t>
      </w:r>
    </w:p>
    <w:p w14:paraId="352430FA" w14:textId="3EBB0A70" w:rsidR="002350D9" w:rsidRDefault="002350D9" w:rsidP="00517DFC">
      <w:pPr>
        <w:jc w:val="both"/>
        <w:rPr>
          <w:rFonts w:ascii="Arial" w:hAnsi="Arial" w:cs="Arial"/>
          <w:sz w:val="24"/>
          <w:szCs w:val="24"/>
        </w:rPr>
      </w:pPr>
      <w:r w:rsidRPr="008C417E">
        <w:rPr>
          <w:rFonts w:ascii="Arial" w:eastAsia="Times New Roman" w:hAnsi="Arial" w:cs="Arial"/>
          <w:b/>
          <w:bCs/>
          <w:color w:val="000000" w:themeColor="text1"/>
          <w:sz w:val="24"/>
          <w:szCs w:val="24"/>
          <w:lang w:eastAsia="hr-HR"/>
        </w:rPr>
        <w:t>A118702 – Redovna djelatnost ustanove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– realizacija je 71,22%. Režije se pretežno podmiruju iz proračuna osnivača. Dio režijskih troškova održavanja koji nisu pokriveni iz proračuna osnivača plaća ustanova iz vlastitih sredstava, pretežito iz sredstava </w:t>
      </w:r>
      <w:r w:rsidR="00C8267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pomoći iz nenadležnih proračuna i iz prihoda po posebnim propisima. Prema odluci o raspodjeli viška 2023.g. iz ove djelatnosti financirano je</w:t>
      </w:r>
      <w:r w:rsidR="00D42D8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preseljenje i montaža opreme iz starih prostora u novu zgradu</w:t>
      </w:r>
      <w:r w:rsidR="00C8267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,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tekuće investicijsko održavanje novih sustava</w:t>
      </w:r>
      <w:r w:rsidR="00D42D8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u Art kvartu Benčić – </w:t>
      </w:r>
      <w:r w:rsidR="00D42D8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D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ječja kuća i Središnja knjižnica</w:t>
      </w:r>
      <w:r w:rsidR="00C8267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, razvoj weba, troškovi službenih putovanja zaposlenih, trošak promidžbe djelatnosti knjižnice, tisak materijala</w:t>
      </w:r>
      <w:r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.</w:t>
      </w:r>
      <w:r w:rsidR="00D42D8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 U ovoj godini dio </w:t>
      </w:r>
      <w:r w:rsidR="00C8267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tih </w:t>
      </w:r>
      <w:r w:rsidR="00D42D8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troškova koje je trebalo realizirati prema odluci o raspodjeli rezultata realizirano je uz suglasnost osnivača </w:t>
      </w:r>
      <w:r w:rsidR="00C8267D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 xml:space="preserve">na </w:t>
      </w:r>
      <w:r w:rsidR="00D42D85">
        <w:rPr>
          <w:rFonts w:ascii="Arial" w:eastAsia="Times New Roman" w:hAnsi="Arial" w:cs="Arial"/>
          <w:color w:val="000000" w:themeColor="text1"/>
          <w:sz w:val="24"/>
          <w:szCs w:val="24"/>
          <w:lang w:eastAsia="hr-HR"/>
        </w:rPr>
        <w:t>teret novih proračunskih izvora.</w:t>
      </w:r>
    </w:p>
    <w:p w14:paraId="523BE323" w14:textId="78F613B9" w:rsidR="0003114E" w:rsidRPr="00866FED" w:rsidRDefault="002B5BD2" w:rsidP="00517DFC">
      <w:pPr>
        <w:jc w:val="both"/>
        <w:rPr>
          <w:rFonts w:ascii="Arial" w:hAnsi="Arial" w:cs="Arial"/>
          <w:sz w:val="24"/>
          <w:szCs w:val="24"/>
        </w:rPr>
      </w:pPr>
      <w:r w:rsidRPr="008C417E">
        <w:rPr>
          <w:rFonts w:ascii="Arial" w:hAnsi="Arial" w:cs="Arial"/>
          <w:b/>
          <w:bCs/>
          <w:sz w:val="24"/>
          <w:szCs w:val="24"/>
        </w:rPr>
        <w:lastRenderedPageBreak/>
        <w:t>A118703 – Programska djelatnost</w:t>
      </w:r>
      <w:r w:rsidRPr="00866FED">
        <w:rPr>
          <w:rFonts w:ascii="Arial" w:hAnsi="Arial" w:cs="Arial"/>
          <w:sz w:val="24"/>
          <w:szCs w:val="24"/>
        </w:rPr>
        <w:t xml:space="preserve"> ustanove u sebi </w:t>
      </w:r>
      <w:r w:rsidR="00517DFC" w:rsidRPr="00866FED">
        <w:rPr>
          <w:rFonts w:ascii="Arial" w:hAnsi="Arial" w:cs="Arial"/>
          <w:sz w:val="24"/>
          <w:szCs w:val="24"/>
        </w:rPr>
        <w:t xml:space="preserve">sadrži </w:t>
      </w:r>
      <w:r w:rsidRPr="00866FED">
        <w:rPr>
          <w:rFonts w:ascii="Arial" w:hAnsi="Arial" w:cs="Arial"/>
          <w:sz w:val="24"/>
          <w:szCs w:val="24"/>
        </w:rPr>
        <w:t xml:space="preserve">programske dijelove </w:t>
      </w:r>
      <w:r w:rsidR="002350D9">
        <w:rPr>
          <w:rFonts w:ascii="Arial" w:hAnsi="Arial" w:cs="Arial"/>
          <w:sz w:val="24"/>
          <w:szCs w:val="24"/>
        </w:rPr>
        <w:t xml:space="preserve"> </w:t>
      </w:r>
      <w:r w:rsidRPr="00866FED">
        <w:rPr>
          <w:rFonts w:ascii="Arial" w:hAnsi="Arial" w:cs="Arial"/>
          <w:sz w:val="24"/>
          <w:szCs w:val="24"/>
        </w:rPr>
        <w:t>koji se tiču programskih aktivnosti knjižnice</w:t>
      </w:r>
      <w:r w:rsidR="0003114E" w:rsidRPr="00866FED">
        <w:rPr>
          <w:rFonts w:ascii="Arial" w:hAnsi="Arial" w:cs="Arial"/>
          <w:sz w:val="24"/>
          <w:szCs w:val="24"/>
        </w:rPr>
        <w:t xml:space="preserve"> vezanih za djelatnost knjižnice, odnosno knjižnične programe i manifestacije.</w:t>
      </w:r>
      <w:r w:rsidRPr="00866FED">
        <w:rPr>
          <w:rFonts w:ascii="Arial" w:hAnsi="Arial" w:cs="Arial"/>
          <w:sz w:val="24"/>
          <w:szCs w:val="24"/>
        </w:rPr>
        <w:t xml:space="preserve"> Ovdje se odvijaju programi Dječje kuće za djecu predškolskog i školskog uzrasta, programi Američkog kutka, programi za mlade i za sve ostale posjetitelje knjižnice. Najznačajniji programi knjižn</w:t>
      </w:r>
      <w:r w:rsidR="00517DFC" w:rsidRPr="00866FED">
        <w:rPr>
          <w:rFonts w:ascii="Arial" w:hAnsi="Arial" w:cs="Arial"/>
          <w:sz w:val="24"/>
          <w:szCs w:val="24"/>
        </w:rPr>
        <w:t>ice</w:t>
      </w:r>
      <w:r w:rsidRPr="00866FED">
        <w:rPr>
          <w:rFonts w:ascii="Arial" w:hAnsi="Arial" w:cs="Arial"/>
          <w:sz w:val="24"/>
          <w:szCs w:val="24"/>
        </w:rPr>
        <w:t xml:space="preserve"> </w:t>
      </w:r>
      <w:r w:rsidR="00517DFC" w:rsidRPr="00866FED">
        <w:rPr>
          <w:rFonts w:ascii="Arial" w:hAnsi="Arial" w:cs="Arial"/>
          <w:sz w:val="24"/>
          <w:szCs w:val="24"/>
        </w:rPr>
        <w:t xml:space="preserve">su svakako programi u Dječjoj kući, Rasadnik – program za mlade, tradicionalni proljetni </w:t>
      </w:r>
      <w:r w:rsidRPr="00866FED">
        <w:rPr>
          <w:rFonts w:ascii="Arial" w:hAnsi="Arial" w:cs="Arial"/>
          <w:sz w:val="24"/>
          <w:szCs w:val="24"/>
        </w:rPr>
        <w:t>Tjedan dobre dječje knjige</w:t>
      </w:r>
      <w:r w:rsidR="00517DFC" w:rsidRPr="00866FED">
        <w:rPr>
          <w:rFonts w:ascii="Arial" w:hAnsi="Arial" w:cs="Arial"/>
          <w:sz w:val="24"/>
          <w:szCs w:val="24"/>
        </w:rPr>
        <w:t>,</w:t>
      </w:r>
      <w:r w:rsidRPr="00866FED">
        <w:rPr>
          <w:rFonts w:ascii="Arial" w:hAnsi="Arial" w:cs="Arial"/>
          <w:sz w:val="24"/>
          <w:szCs w:val="24"/>
        </w:rPr>
        <w:t xml:space="preserve"> </w:t>
      </w:r>
      <w:r w:rsidR="00517DFC" w:rsidRPr="00866FED">
        <w:rPr>
          <w:rFonts w:ascii="Arial" w:hAnsi="Arial" w:cs="Arial"/>
          <w:sz w:val="24"/>
          <w:szCs w:val="24"/>
        </w:rPr>
        <w:t xml:space="preserve">ljetni festival </w:t>
      </w:r>
      <w:r w:rsidRPr="00866FED">
        <w:rPr>
          <w:rFonts w:ascii="Arial" w:hAnsi="Arial" w:cs="Arial"/>
          <w:sz w:val="24"/>
          <w:szCs w:val="24"/>
        </w:rPr>
        <w:t>Tobogan</w:t>
      </w:r>
      <w:r w:rsidR="00517DFC" w:rsidRPr="00866FED">
        <w:rPr>
          <w:rFonts w:ascii="Arial" w:hAnsi="Arial" w:cs="Arial"/>
          <w:sz w:val="24"/>
          <w:szCs w:val="24"/>
        </w:rPr>
        <w:t>, Rezidencija Kamov  za gostujuće književnike,</w:t>
      </w:r>
      <w:r w:rsidRPr="00866FED">
        <w:rPr>
          <w:rFonts w:ascii="Arial" w:hAnsi="Arial" w:cs="Arial"/>
          <w:sz w:val="24"/>
          <w:szCs w:val="24"/>
        </w:rPr>
        <w:t xml:space="preserve"> </w:t>
      </w:r>
      <w:r w:rsidR="00517DFC" w:rsidRPr="00866FED">
        <w:rPr>
          <w:rFonts w:ascii="Arial" w:hAnsi="Arial" w:cs="Arial"/>
          <w:sz w:val="24"/>
          <w:szCs w:val="24"/>
        </w:rPr>
        <w:t>Treća dob čitanja,</w:t>
      </w:r>
      <w:r w:rsidRPr="00866FED">
        <w:rPr>
          <w:rFonts w:ascii="Arial" w:hAnsi="Arial" w:cs="Arial"/>
          <w:sz w:val="24"/>
          <w:szCs w:val="24"/>
        </w:rPr>
        <w:t xml:space="preserve"> </w:t>
      </w:r>
      <w:r w:rsidR="00517DFC" w:rsidRPr="00866FED">
        <w:rPr>
          <w:rFonts w:ascii="Arial" w:hAnsi="Arial" w:cs="Arial"/>
          <w:sz w:val="24"/>
          <w:szCs w:val="24"/>
        </w:rPr>
        <w:t>Kulturna obitelj, Mjesec hrvatske knjige,</w:t>
      </w:r>
      <w:r w:rsidRPr="00866FED">
        <w:rPr>
          <w:rFonts w:ascii="Arial" w:hAnsi="Arial" w:cs="Arial"/>
          <w:sz w:val="24"/>
          <w:szCs w:val="24"/>
        </w:rPr>
        <w:t xml:space="preserve"> Zimsk</w:t>
      </w:r>
      <w:r w:rsidR="00517DFC" w:rsidRPr="00866FED">
        <w:rPr>
          <w:rFonts w:ascii="Arial" w:hAnsi="Arial" w:cs="Arial"/>
          <w:sz w:val="24"/>
          <w:szCs w:val="24"/>
        </w:rPr>
        <w:t>a</w:t>
      </w:r>
      <w:r w:rsidRPr="00866FED">
        <w:rPr>
          <w:rFonts w:ascii="Arial" w:hAnsi="Arial" w:cs="Arial"/>
          <w:sz w:val="24"/>
          <w:szCs w:val="24"/>
        </w:rPr>
        <w:t xml:space="preserve"> prič</w:t>
      </w:r>
      <w:r w:rsidR="00517DFC" w:rsidRPr="00866FED">
        <w:rPr>
          <w:rFonts w:ascii="Arial" w:hAnsi="Arial" w:cs="Arial"/>
          <w:sz w:val="24"/>
          <w:szCs w:val="24"/>
        </w:rPr>
        <w:t>a iz Benčića i mnogi drugi .</w:t>
      </w:r>
      <w:r w:rsidR="0003114E" w:rsidRPr="00866FED">
        <w:rPr>
          <w:rFonts w:ascii="Arial" w:hAnsi="Arial" w:cs="Arial"/>
          <w:sz w:val="24"/>
          <w:szCs w:val="24"/>
        </w:rPr>
        <w:t xml:space="preserve"> Ovaj dio  izvršen je na razini 80,81% od plana zbog dodatn</w:t>
      </w:r>
      <w:r w:rsidR="006C4E7F">
        <w:rPr>
          <w:rFonts w:ascii="Arial" w:hAnsi="Arial" w:cs="Arial"/>
          <w:sz w:val="24"/>
          <w:szCs w:val="24"/>
        </w:rPr>
        <w:t>o osiguranih</w:t>
      </w:r>
      <w:r w:rsidR="0003114E" w:rsidRPr="00866FED">
        <w:rPr>
          <w:rFonts w:ascii="Arial" w:hAnsi="Arial" w:cs="Arial"/>
          <w:sz w:val="24"/>
          <w:szCs w:val="24"/>
        </w:rPr>
        <w:t xml:space="preserve"> sredstava iz proračuna, pa su</w:t>
      </w:r>
      <w:r w:rsidR="00D42D85">
        <w:rPr>
          <w:rFonts w:ascii="Arial" w:hAnsi="Arial" w:cs="Arial"/>
          <w:sz w:val="24"/>
          <w:szCs w:val="24"/>
        </w:rPr>
        <w:t xml:space="preserve"> uz suglasnost osnivača </w:t>
      </w:r>
      <w:r w:rsidR="0003114E" w:rsidRPr="00866FED">
        <w:rPr>
          <w:rFonts w:ascii="Arial" w:hAnsi="Arial" w:cs="Arial"/>
          <w:sz w:val="24"/>
          <w:szCs w:val="24"/>
        </w:rPr>
        <w:t xml:space="preserve"> sredstva planirana iz viška ostala za trošenje u idućoj godini.</w:t>
      </w:r>
    </w:p>
    <w:p w14:paraId="462E7D42" w14:textId="5D4AA2AA" w:rsidR="0003114E" w:rsidRPr="00866FED" w:rsidRDefault="0003114E" w:rsidP="00517DFC">
      <w:pPr>
        <w:jc w:val="both"/>
        <w:rPr>
          <w:rFonts w:ascii="Arial" w:hAnsi="Arial" w:cs="Arial"/>
          <w:sz w:val="24"/>
          <w:szCs w:val="24"/>
        </w:rPr>
      </w:pPr>
      <w:r w:rsidRPr="008C417E">
        <w:rPr>
          <w:rFonts w:ascii="Arial" w:hAnsi="Arial" w:cs="Arial"/>
          <w:b/>
          <w:bCs/>
          <w:sz w:val="24"/>
          <w:szCs w:val="24"/>
        </w:rPr>
        <w:t>A118709 - Zaštita knjižne građe</w:t>
      </w:r>
      <w:r w:rsidRPr="00866FED">
        <w:rPr>
          <w:rFonts w:ascii="Arial" w:hAnsi="Arial" w:cs="Arial"/>
          <w:sz w:val="24"/>
          <w:szCs w:val="24"/>
        </w:rPr>
        <w:t xml:space="preserve"> – realizacija ovog programa je 99,84%. Svake godine knjižni fond se </w:t>
      </w:r>
      <w:r w:rsidR="00866FED">
        <w:rPr>
          <w:rFonts w:ascii="Arial" w:hAnsi="Arial" w:cs="Arial"/>
          <w:sz w:val="24"/>
          <w:szCs w:val="24"/>
        </w:rPr>
        <w:t>fizički štiti i čuva</w:t>
      </w:r>
      <w:r w:rsidRPr="00866FED">
        <w:rPr>
          <w:rFonts w:ascii="Arial" w:hAnsi="Arial" w:cs="Arial"/>
          <w:sz w:val="24"/>
          <w:szCs w:val="24"/>
        </w:rPr>
        <w:t xml:space="preserve"> od</w:t>
      </w:r>
      <w:r w:rsidR="00866FED">
        <w:rPr>
          <w:rFonts w:ascii="Arial" w:hAnsi="Arial" w:cs="Arial"/>
          <w:sz w:val="24"/>
          <w:szCs w:val="24"/>
        </w:rPr>
        <w:t xml:space="preserve"> raznih štetnih okolnosti (fizičkog, kemijskog, biološkog oštećenja) kroz program nabave sredstava za zaštitu </w:t>
      </w:r>
      <w:r w:rsidR="006C4E7F">
        <w:rPr>
          <w:rFonts w:ascii="Arial" w:hAnsi="Arial" w:cs="Arial"/>
          <w:sz w:val="24"/>
          <w:szCs w:val="24"/>
        </w:rPr>
        <w:t xml:space="preserve"> na poziciji skupine </w:t>
      </w:r>
      <w:r w:rsidR="00866FED">
        <w:rPr>
          <w:rFonts w:ascii="Arial" w:hAnsi="Arial" w:cs="Arial"/>
          <w:sz w:val="24"/>
          <w:szCs w:val="24"/>
        </w:rPr>
        <w:t>3221 – uredski i ostali materijali.</w:t>
      </w:r>
      <w:r w:rsidR="006C4E7F">
        <w:rPr>
          <w:rFonts w:ascii="Arial" w:hAnsi="Arial" w:cs="Arial"/>
          <w:sz w:val="24"/>
          <w:szCs w:val="24"/>
        </w:rPr>
        <w:t xml:space="preserve"> Pretežno se radi o folijama u koju se umotavaju knjige.</w:t>
      </w:r>
      <w:r w:rsidR="00866FED">
        <w:rPr>
          <w:rFonts w:ascii="Arial" w:hAnsi="Arial" w:cs="Arial"/>
          <w:sz w:val="24"/>
          <w:szCs w:val="24"/>
        </w:rPr>
        <w:t xml:space="preserve"> </w:t>
      </w:r>
    </w:p>
    <w:p w14:paraId="05A4A7B8" w14:textId="71FB5131" w:rsidR="002B5BD2" w:rsidRPr="00866FED" w:rsidRDefault="00517DFC" w:rsidP="00517DFC">
      <w:pPr>
        <w:jc w:val="both"/>
        <w:rPr>
          <w:rFonts w:ascii="Arial" w:hAnsi="Arial" w:cs="Arial"/>
          <w:sz w:val="24"/>
          <w:szCs w:val="24"/>
        </w:rPr>
      </w:pPr>
      <w:r w:rsidRPr="008C417E">
        <w:rPr>
          <w:rFonts w:ascii="Arial" w:hAnsi="Arial" w:cs="Arial"/>
          <w:b/>
          <w:bCs/>
          <w:sz w:val="24"/>
          <w:szCs w:val="24"/>
        </w:rPr>
        <w:t>A118723 – Ljetni program</w:t>
      </w:r>
      <w:r w:rsidRPr="00866FED">
        <w:rPr>
          <w:rFonts w:ascii="Arial" w:hAnsi="Arial" w:cs="Arial"/>
          <w:sz w:val="24"/>
          <w:szCs w:val="24"/>
        </w:rPr>
        <w:t xml:space="preserve"> je nova aktivnost ustanovljena zbog opsega programa provođenih ljeti  koje su se do sada odvijale u programskoj aktivnosti. Tako je dio ove aktivnosti postao i festival Tobogan</w:t>
      </w:r>
      <w:r w:rsidR="0003114E" w:rsidRPr="00866FED">
        <w:rPr>
          <w:rFonts w:ascii="Arial" w:hAnsi="Arial" w:cs="Arial"/>
          <w:sz w:val="24"/>
          <w:szCs w:val="24"/>
        </w:rPr>
        <w:t>, zatim STEM piknik, Festival znanosti u</w:t>
      </w:r>
      <w:r w:rsidRPr="00866FED">
        <w:rPr>
          <w:rFonts w:ascii="Arial" w:hAnsi="Arial" w:cs="Arial"/>
          <w:sz w:val="24"/>
          <w:szCs w:val="24"/>
        </w:rPr>
        <w:t xml:space="preserve"> sklopu Ljetne priče iz Benčića</w:t>
      </w:r>
      <w:r w:rsidR="00142428">
        <w:rPr>
          <w:rFonts w:ascii="Arial" w:hAnsi="Arial" w:cs="Arial"/>
          <w:sz w:val="24"/>
          <w:szCs w:val="24"/>
        </w:rPr>
        <w:t xml:space="preserve"> </w:t>
      </w:r>
      <w:r w:rsidRPr="00866FED">
        <w:rPr>
          <w:rFonts w:ascii="Arial" w:hAnsi="Arial" w:cs="Arial"/>
          <w:sz w:val="24"/>
          <w:szCs w:val="24"/>
        </w:rPr>
        <w:t xml:space="preserve">. </w:t>
      </w:r>
      <w:r w:rsidR="0003114E" w:rsidRPr="00866FED">
        <w:rPr>
          <w:rFonts w:ascii="Arial" w:hAnsi="Arial" w:cs="Arial"/>
          <w:sz w:val="24"/>
          <w:szCs w:val="24"/>
        </w:rPr>
        <w:t>Iz</w:t>
      </w:r>
      <w:r w:rsidR="00142428">
        <w:rPr>
          <w:rFonts w:ascii="Arial" w:hAnsi="Arial" w:cs="Arial"/>
          <w:sz w:val="24"/>
          <w:szCs w:val="24"/>
        </w:rPr>
        <w:t>vr</w:t>
      </w:r>
      <w:r w:rsidR="0003114E" w:rsidRPr="00866FED">
        <w:rPr>
          <w:rFonts w:ascii="Arial" w:hAnsi="Arial" w:cs="Arial"/>
          <w:sz w:val="24"/>
          <w:szCs w:val="24"/>
        </w:rPr>
        <w:t>šenje ove aktivnosti je 100%</w:t>
      </w:r>
      <w:r w:rsidR="00866FED">
        <w:rPr>
          <w:rFonts w:ascii="Arial" w:hAnsi="Arial" w:cs="Arial"/>
          <w:sz w:val="24"/>
          <w:szCs w:val="24"/>
        </w:rPr>
        <w:t xml:space="preserve"> .</w:t>
      </w:r>
    </w:p>
    <w:p w14:paraId="5DF4FA19" w14:textId="05F8E5A8" w:rsidR="0003114E" w:rsidRPr="00866FED" w:rsidRDefault="0003114E" w:rsidP="00517DFC">
      <w:pPr>
        <w:jc w:val="both"/>
        <w:rPr>
          <w:rFonts w:ascii="Arial" w:hAnsi="Arial" w:cs="Arial"/>
          <w:sz w:val="24"/>
          <w:szCs w:val="24"/>
        </w:rPr>
      </w:pPr>
      <w:r w:rsidRPr="008C417E">
        <w:rPr>
          <w:rFonts w:ascii="Arial" w:hAnsi="Arial" w:cs="Arial"/>
          <w:b/>
          <w:bCs/>
          <w:sz w:val="24"/>
          <w:szCs w:val="24"/>
        </w:rPr>
        <w:t>K118705 – Nabava knjižne građe</w:t>
      </w:r>
      <w:r w:rsidRPr="00866FED">
        <w:rPr>
          <w:rFonts w:ascii="Arial" w:hAnsi="Arial" w:cs="Arial"/>
          <w:sz w:val="24"/>
          <w:szCs w:val="24"/>
        </w:rPr>
        <w:t xml:space="preserve"> je ostvarena 90,34% od plana zbog dodatnih sredstava iz proračuna , pa je </w:t>
      </w:r>
      <w:r w:rsidR="00D42D85">
        <w:rPr>
          <w:rFonts w:ascii="Arial" w:hAnsi="Arial" w:cs="Arial"/>
          <w:sz w:val="24"/>
          <w:szCs w:val="24"/>
        </w:rPr>
        <w:t xml:space="preserve">uz suglasnost osnivača </w:t>
      </w:r>
      <w:r w:rsidRPr="00866FED">
        <w:rPr>
          <w:rFonts w:ascii="Arial" w:hAnsi="Arial" w:cs="Arial"/>
          <w:sz w:val="24"/>
          <w:szCs w:val="24"/>
        </w:rPr>
        <w:t xml:space="preserve">dio za nabavu planiran iz sredstava viška ostao za prijenos </w:t>
      </w:r>
      <w:r w:rsidR="00866FED">
        <w:rPr>
          <w:rFonts w:ascii="Arial" w:hAnsi="Arial" w:cs="Arial"/>
          <w:sz w:val="24"/>
          <w:szCs w:val="24"/>
        </w:rPr>
        <w:t xml:space="preserve">i utrošak </w:t>
      </w:r>
      <w:r w:rsidRPr="00866FED">
        <w:rPr>
          <w:rFonts w:ascii="Arial" w:hAnsi="Arial" w:cs="Arial"/>
          <w:sz w:val="24"/>
          <w:szCs w:val="24"/>
        </w:rPr>
        <w:t xml:space="preserve">u iduću godinu. </w:t>
      </w:r>
    </w:p>
    <w:p w14:paraId="3DC48F6B" w14:textId="24AD2EC6" w:rsidR="00517DFC" w:rsidRPr="00866FED" w:rsidRDefault="0003114E" w:rsidP="00517DFC">
      <w:pPr>
        <w:jc w:val="both"/>
        <w:rPr>
          <w:rFonts w:ascii="Arial" w:hAnsi="Arial" w:cs="Arial"/>
          <w:sz w:val="24"/>
          <w:szCs w:val="24"/>
        </w:rPr>
      </w:pPr>
      <w:r w:rsidRPr="008C417E">
        <w:rPr>
          <w:rFonts w:ascii="Arial" w:hAnsi="Arial" w:cs="Arial"/>
          <w:b/>
          <w:bCs/>
          <w:sz w:val="24"/>
          <w:szCs w:val="24"/>
        </w:rPr>
        <w:t>K118710 – Nabava opreme</w:t>
      </w:r>
      <w:r w:rsidRPr="00866FED">
        <w:rPr>
          <w:rFonts w:ascii="Arial" w:hAnsi="Arial" w:cs="Arial"/>
          <w:sz w:val="24"/>
          <w:szCs w:val="24"/>
        </w:rPr>
        <w:t xml:space="preserve"> realizirana je 72,42% , dio sredstava planiran iz viška realiziran je kroz druge izvore financiranja</w:t>
      </w:r>
      <w:r w:rsidR="00D42D85">
        <w:rPr>
          <w:rFonts w:ascii="Arial" w:hAnsi="Arial" w:cs="Arial"/>
          <w:sz w:val="24"/>
          <w:szCs w:val="24"/>
        </w:rPr>
        <w:t xml:space="preserve"> uz suglasnost osnivača.</w:t>
      </w:r>
      <w:r w:rsidR="00142428">
        <w:rPr>
          <w:rFonts w:ascii="Arial" w:hAnsi="Arial" w:cs="Arial"/>
          <w:sz w:val="24"/>
          <w:szCs w:val="24"/>
        </w:rPr>
        <w:t xml:space="preserve"> Nabavljen je ostatak pregrada za novu zgradu, regal za središnju knjižnicu, dva uređaja sa sušenje ruku u Dječjoj kući, nešto igračaka </w:t>
      </w:r>
      <w:r w:rsidR="000575C9">
        <w:rPr>
          <w:rFonts w:ascii="Arial" w:hAnsi="Arial" w:cs="Arial"/>
          <w:sz w:val="24"/>
          <w:szCs w:val="24"/>
        </w:rPr>
        <w:t>,</w:t>
      </w:r>
      <w:r w:rsidR="00142428">
        <w:rPr>
          <w:rFonts w:ascii="Arial" w:hAnsi="Arial" w:cs="Arial"/>
          <w:sz w:val="24"/>
          <w:szCs w:val="24"/>
        </w:rPr>
        <w:t xml:space="preserve"> opreme</w:t>
      </w:r>
      <w:r w:rsidR="000575C9">
        <w:rPr>
          <w:rFonts w:ascii="Arial" w:hAnsi="Arial" w:cs="Arial"/>
          <w:sz w:val="24"/>
          <w:szCs w:val="24"/>
        </w:rPr>
        <w:t xml:space="preserve"> i uređaja za Dječju kuću i Odjel za mlade. </w:t>
      </w:r>
    </w:p>
    <w:p w14:paraId="2BD98785" w14:textId="77777777" w:rsidR="00866FED" w:rsidRPr="00866FED" w:rsidRDefault="00866FED">
      <w:pPr>
        <w:rPr>
          <w:rFonts w:ascii="Arial" w:hAnsi="Arial" w:cs="Arial"/>
          <w:sz w:val="24"/>
          <w:szCs w:val="24"/>
        </w:rPr>
      </w:pPr>
      <w:r w:rsidRPr="008C417E">
        <w:rPr>
          <w:rFonts w:ascii="Arial" w:hAnsi="Arial" w:cs="Arial"/>
          <w:b/>
          <w:bCs/>
          <w:sz w:val="24"/>
          <w:szCs w:val="24"/>
        </w:rPr>
        <w:t>TEKUĆI PROJEKTI</w:t>
      </w:r>
      <w:r w:rsidRPr="00866FED">
        <w:rPr>
          <w:rFonts w:ascii="Arial" w:hAnsi="Arial" w:cs="Arial"/>
          <w:sz w:val="24"/>
          <w:szCs w:val="24"/>
        </w:rPr>
        <w:t xml:space="preserve"> : </w:t>
      </w:r>
    </w:p>
    <w:p w14:paraId="2F00FF34" w14:textId="0BD9F5AB" w:rsidR="006C4E7F" w:rsidRDefault="00866FED" w:rsidP="006C4E7F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8C417E">
        <w:rPr>
          <w:rFonts w:ascii="Arial" w:hAnsi="Arial" w:cs="Arial"/>
          <w:b/>
          <w:bCs/>
          <w:sz w:val="24"/>
          <w:szCs w:val="24"/>
        </w:rPr>
        <w:t>T</w:t>
      </w:r>
      <w:r w:rsidRPr="008C417E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141201 ERASMUS+ AKREDITACIJE -</w:t>
      </w:r>
      <w:r w:rsidR="00653740" w:rsidRPr="008C417E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 </w:t>
      </w:r>
      <w:r w:rsidRPr="008C417E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>KA120 - ADU - Obrazovanje odraslih – EU</w:t>
      </w:r>
      <w:r w:rsidR="008C417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  <w:r w:rsidRPr="00866FE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653740" w:rsidRPr="00653740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Akreditacija </w:t>
      </w:r>
      <w:r w:rsidR="006C4E7F" w:rsidRPr="006C4E7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se </w:t>
      </w:r>
      <w:r w:rsidR="008C417E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odnosi </w:t>
      </w:r>
      <w:r w:rsidR="006C4E7F" w:rsidRPr="006C4E7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na</w:t>
      </w:r>
      <w:r w:rsidR="006C4E7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6C4E7F" w:rsidRPr="006C4E7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ključnu aktivnost KA121 u području obrazovanja odraslih odnosno na razmjene i putovanja</w:t>
      </w:r>
      <w:r w:rsidR="006C4E7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6C4E7F" w:rsidRPr="006C4E7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djelatnika knjižnice u sklopu Erasmus+ akreditacije.</w:t>
      </w:r>
      <w:r w:rsidR="006C4E7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6C4E7F" w:rsidRPr="006C4E7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Financira se</w:t>
      </w:r>
      <w:r w:rsidR="006C4E7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6C4E7F" w:rsidRPr="006C4E7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organizacijska i pojedinačna potpora, putovanje , jezična potpora, pripremni posjet, kotizacije i</w:t>
      </w:r>
      <w:r w:rsidR="006C4E7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</w:t>
      </w:r>
      <w:r w:rsidR="006C4E7F" w:rsidRPr="006C4E7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slično. </w:t>
      </w:r>
      <w:r w:rsidR="0057355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 2024. nije bilo ostvarenja jer se </w:t>
      </w:r>
      <w:r w:rsidR="006C4E7F" w:rsidRPr="006C4E7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 službena putovanja zaposlenih u Finsku, Dansku i Španjolsk</w:t>
      </w:r>
      <w:r w:rsidR="006C4E7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 </w:t>
      </w:r>
      <w:r w:rsidR="0057355D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planiraju </w:t>
      </w:r>
      <w:r w:rsidR="006C4E7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u 2025.g. </w:t>
      </w:r>
      <w:r w:rsidR="006C4E7F" w:rsidRPr="006C4E7F">
        <w:rPr>
          <w:rFonts w:ascii="Arial" w:eastAsia="Times New Roman" w:hAnsi="Arial" w:cs="Arial"/>
          <w:color w:val="000000"/>
          <w:sz w:val="24"/>
          <w:szCs w:val="24"/>
          <w:lang w:eastAsia="hr-HR"/>
        </w:rPr>
        <w:t>.</w:t>
      </w:r>
    </w:p>
    <w:p w14:paraId="40E5342F" w14:textId="6EC181D1" w:rsidR="002350D9" w:rsidRDefault="002350D9" w:rsidP="006C4E7F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2350D9">
        <w:rPr>
          <w:rFonts w:ascii="Arial" w:eastAsia="Times New Roman" w:hAnsi="Arial" w:cs="Arial"/>
          <w:b/>
          <w:bCs/>
          <w:color w:val="000000"/>
          <w:sz w:val="24"/>
          <w:szCs w:val="24"/>
          <w:lang w:eastAsia="hr-HR"/>
        </w:rPr>
        <w:t xml:space="preserve">POKAZATELJI </w:t>
      </w:r>
      <w:r>
        <w:rPr>
          <w:rFonts w:ascii="Arial" w:eastAsia="Times New Roman" w:hAnsi="Arial" w:cs="Arial"/>
          <w:color w:val="000000"/>
          <w:sz w:val="24"/>
          <w:szCs w:val="24"/>
          <w:lang w:eastAsia="hr-HR"/>
        </w:rPr>
        <w:t xml:space="preserve">: </w:t>
      </w:r>
    </w:p>
    <w:p w14:paraId="3E86D190" w14:textId="77777777" w:rsidR="000575C9" w:rsidRDefault="000575C9" w:rsidP="006C4E7F">
      <w:pPr>
        <w:jc w:val="both"/>
        <w:rPr>
          <w:rFonts w:ascii="Arial" w:hAnsi="Arial" w:cs="Arial"/>
          <w:b/>
          <w:sz w:val="20"/>
          <w:szCs w:val="20"/>
        </w:rPr>
      </w:pPr>
    </w:p>
    <w:p w14:paraId="48CB9F87" w14:textId="22E822AB" w:rsidR="00653740" w:rsidRPr="006C4E7F" w:rsidRDefault="00653740" w:rsidP="006C4E7F">
      <w:pPr>
        <w:jc w:val="both"/>
        <w:rPr>
          <w:rFonts w:ascii="Arial" w:eastAsia="Times New Roman" w:hAnsi="Arial" w:cs="Arial"/>
          <w:color w:val="000000"/>
          <w:sz w:val="24"/>
          <w:szCs w:val="24"/>
          <w:lang w:eastAsia="hr-HR"/>
        </w:rPr>
      </w:pPr>
      <w:r w:rsidRPr="00DE1332">
        <w:rPr>
          <w:rFonts w:ascii="Arial" w:hAnsi="Arial" w:cs="Arial"/>
          <w:b/>
          <w:sz w:val="20"/>
          <w:szCs w:val="20"/>
        </w:rPr>
        <w:t xml:space="preserve">Cilj: minimalizirati smanjenje broja korisnika Knjižnice </w:t>
      </w:r>
    </w:p>
    <w:tbl>
      <w:tblPr>
        <w:tblW w:w="8389" w:type="dxa"/>
        <w:tblInd w:w="10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47"/>
        <w:gridCol w:w="1081"/>
        <w:gridCol w:w="1276"/>
        <w:gridCol w:w="1276"/>
        <w:gridCol w:w="1134"/>
        <w:gridCol w:w="1275"/>
      </w:tblGrid>
      <w:tr w:rsidR="001A73A3" w:rsidRPr="00DE1332" w14:paraId="75502DF0" w14:textId="77777777" w:rsidTr="0057355D">
        <w:trPr>
          <w:trHeight w:val="481"/>
        </w:trPr>
        <w:tc>
          <w:tcPr>
            <w:tcW w:w="2347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DFC0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332">
              <w:rPr>
                <w:rFonts w:ascii="Arial" w:hAnsi="Arial" w:cs="Arial"/>
                <w:b/>
                <w:sz w:val="20"/>
                <w:szCs w:val="20"/>
              </w:rPr>
              <w:t>Pokazatelji rezultata</w:t>
            </w:r>
          </w:p>
        </w:tc>
        <w:tc>
          <w:tcPr>
            <w:tcW w:w="1081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B9D31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332">
              <w:rPr>
                <w:rFonts w:ascii="Arial" w:hAnsi="Arial" w:cs="Arial"/>
                <w:b/>
                <w:sz w:val="20"/>
                <w:szCs w:val="20"/>
              </w:rPr>
              <w:t>Jedinica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EA55D6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332">
              <w:rPr>
                <w:rFonts w:ascii="Arial" w:hAnsi="Arial" w:cs="Arial"/>
                <w:b/>
                <w:sz w:val="20"/>
                <w:szCs w:val="20"/>
              </w:rPr>
              <w:t>Ostvarena vrijednost 2023</w:t>
            </w:r>
          </w:p>
        </w:tc>
        <w:tc>
          <w:tcPr>
            <w:tcW w:w="1276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EBE875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332">
              <w:rPr>
                <w:rFonts w:ascii="Arial" w:hAnsi="Arial" w:cs="Arial"/>
                <w:b/>
                <w:sz w:val="20"/>
                <w:szCs w:val="20"/>
              </w:rPr>
              <w:t>Izvor podataka</w:t>
            </w:r>
          </w:p>
        </w:tc>
        <w:tc>
          <w:tcPr>
            <w:tcW w:w="1134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4191B2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332">
              <w:rPr>
                <w:rFonts w:ascii="Arial" w:hAnsi="Arial" w:cs="Arial"/>
                <w:b/>
                <w:sz w:val="20"/>
                <w:szCs w:val="20"/>
              </w:rPr>
              <w:t>Planirana vrijednost 2024.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F0E31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332">
              <w:rPr>
                <w:rFonts w:ascii="Arial" w:hAnsi="Arial" w:cs="Arial"/>
                <w:b/>
                <w:sz w:val="20"/>
                <w:szCs w:val="20"/>
              </w:rPr>
              <w:t>Ostvarena vrijednost  2024.</w:t>
            </w:r>
          </w:p>
        </w:tc>
      </w:tr>
      <w:tr w:rsidR="001A73A3" w:rsidRPr="00DE1332" w14:paraId="0C073C25" w14:textId="77777777" w:rsidTr="0057355D">
        <w:trPr>
          <w:trHeight w:val="306"/>
        </w:trPr>
        <w:tc>
          <w:tcPr>
            <w:tcW w:w="2347" w:type="dxa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FF3C9C" w14:textId="77777777" w:rsidR="00653740" w:rsidRPr="00DE1332" w:rsidRDefault="00653740" w:rsidP="005755DD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332">
              <w:rPr>
                <w:rFonts w:ascii="Arial" w:hAnsi="Arial" w:cs="Arial"/>
                <w:sz w:val="20"/>
                <w:szCs w:val="20"/>
              </w:rPr>
              <w:lastRenderedPageBreak/>
              <w:t>Minimalno smanjenje broja korisnika</w:t>
            </w:r>
          </w:p>
        </w:tc>
        <w:tc>
          <w:tcPr>
            <w:tcW w:w="1081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C50038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32">
              <w:rPr>
                <w:rFonts w:ascii="Arial" w:hAnsi="Arial" w:cs="Arial"/>
                <w:sz w:val="20"/>
                <w:szCs w:val="20"/>
              </w:rPr>
              <w:t>Broj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A62C20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32">
              <w:rPr>
                <w:rFonts w:ascii="Arial" w:hAnsi="Arial" w:cs="Arial"/>
                <w:sz w:val="20"/>
                <w:szCs w:val="20"/>
              </w:rPr>
              <w:t>17.837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F7A1E9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32">
              <w:rPr>
                <w:rFonts w:ascii="Arial" w:hAnsi="Arial" w:cs="Arial"/>
                <w:sz w:val="20"/>
                <w:szCs w:val="20"/>
              </w:rPr>
              <w:t>Ustanova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B6320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32">
              <w:rPr>
                <w:rFonts w:ascii="Arial" w:hAnsi="Arial" w:cs="Arial"/>
                <w:sz w:val="20"/>
                <w:szCs w:val="20"/>
              </w:rPr>
              <w:t>19.500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6A9A6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32">
              <w:rPr>
                <w:rFonts w:ascii="Arial" w:hAnsi="Arial" w:cs="Arial"/>
                <w:sz w:val="20"/>
                <w:szCs w:val="20"/>
              </w:rPr>
              <w:t>21.776</w:t>
            </w:r>
          </w:p>
        </w:tc>
      </w:tr>
    </w:tbl>
    <w:p w14:paraId="0C9B0E11" w14:textId="77777777" w:rsidR="00653740" w:rsidRPr="00DE1332" w:rsidRDefault="00653740" w:rsidP="00653740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14:paraId="3377659D" w14:textId="77777777" w:rsidR="00653740" w:rsidRPr="00DE1332" w:rsidRDefault="00653740" w:rsidP="00653740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  <w:r w:rsidRPr="00DE1332">
        <w:rPr>
          <w:rFonts w:ascii="Arial" w:hAnsi="Arial" w:cs="Arial"/>
          <w:b/>
          <w:sz w:val="20"/>
          <w:szCs w:val="20"/>
        </w:rPr>
        <w:t>Cilj: minimalizirati smanjenje broja posudbe knjižne građe</w:t>
      </w:r>
    </w:p>
    <w:tbl>
      <w:tblPr>
        <w:tblW w:w="8389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4"/>
        <w:gridCol w:w="1017"/>
        <w:gridCol w:w="1378"/>
        <w:gridCol w:w="1098"/>
        <w:gridCol w:w="1262"/>
        <w:gridCol w:w="1330"/>
      </w:tblGrid>
      <w:tr w:rsidR="001A73A3" w:rsidRPr="00DE1332" w14:paraId="6CB39DBA" w14:textId="77777777" w:rsidTr="001A73A3">
        <w:trPr>
          <w:trHeight w:val="533"/>
        </w:trPr>
        <w:tc>
          <w:tcPr>
            <w:tcW w:w="2304" w:type="dxa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1FDCC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332">
              <w:rPr>
                <w:rFonts w:ascii="Arial" w:hAnsi="Arial" w:cs="Arial"/>
                <w:b/>
                <w:sz w:val="20"/>
                <w:szCs w:val="20"/>
              </w:rPr>
              <w:t>Pokazatelji rezultata</w:t>
            </w:r>
          </w:p>
        </w:tc>
        <w:tc>
          <w:tcPr>
            <w:tcW w:w="1017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232B5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332">
              <w:rPr>
                <w:rFonts w:ascii="Arial" w:hAnsi="Arial" w:cs="Arial"/>
                <w:b/>
                <w:sz w:val="20"/>
                <w:szCs w:val="20"/>
              </w:rPr>
              <w:t>Jedinica</w:t>
            </w:r>
          </w:p>
        </w:tc>
        <w:tc>
          <w:tcPr>
            <w:tcW w:w="1378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01B0D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332">
              <w:rPr>
                <w:rFonts w:ascii="Arial" w:hAnsi="Arial" w:cs="Arial"/>
                <w:b/>
                <w:sz w:val="20"/>
                <w:szCs w:val="20"/>
              </w:rPr>
              <w:t>Ostvarena vrijednost 2023</w:t>
            </w:r>
          </w:p>
        </w:tc>
        <w:tc>
          <w:tcPr>
            <w:tcW w:w="1098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6A9EA2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332">
              <w:rPr>
                <w:rFonts w:ascii="Arial" w:hAnsi="Arial" w:cs="Arial"/>
                <w:b/>
                <w:sz w:val="20"/>
                <w:szCs w:val="20"/>
              </w:rPr>
              <w:t>Izvor podataka</w:t>
            </w:r>
          </w:p>
        </w:tc>
        <w:tc>
          <w:tcPr>
            <w:tcW w:w="1262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548FB0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332">
              <w:rPr>
                <w:rFonts w:ascii="Arial" w:hAnsi="Arial" w:cs="Arial"/>
                <w:b/>
                <w:sz w:val="20"/>
                <w:szCs w:val="20"/>
              </w:rPr>
              <w:t>Planirana vrijednost 2024.</w:t>
            </w:r>
          </w:p>
        </w:tc>
        <w:tc>
          <w:tcPr>
            <w:tcW w:w="1330" w:type="dxa"/>
            <w:tcBorders>
              <w:top w:val="outset" w:sz="6" w:space="0" w:color="auto"/>
              <w:left w:val="nil"/>
              <w:bottom w:val="single" w:sz="4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18F675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332">
              <w:rPr>
                <w:rFonts w:ascii="Arial" w:hAnsi="Arial" w:cs="Arial"/>
                <w:b/>
                <w:sz w:val="20"/>
                <w:szCs w:val="20"/>
              </w:rPr>
              <w:t>Ostvarena vrijednost  2024.</w:t>
            </w:r>
          </w:p>
        </w:tc>
      </w:tr>
      <w:tr w:rsidR="001A73A3" w:rsidRPr="00DE1332" w14:paraId="7BE4634F" w14:textId="77777777" w:rsidTr="001A73A3">
        <w:trPr>
          <w:trHeight w:val="429"/>
        </w:trPr>
        <w:tc>
          <w:tcPr>
            <w:tcW w:w="23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6C8E4" w14:textId="77777777" w:rsidR="00653740" w:rsidRPr="00DE1332" w:rsidRDefault="00653740" w:rsidP="005755DD">
            <w:pPr>
              <w:spacing w:line="256" w:lineRule="auto"/>
              <w:rPr>
                <w:rFonts w:ascii="Arial" w:hAnsi="Arial" w:cs="Arial"/>
                <w:sz w:val="20"/>
                <w:szCs w:val="20"/>
              </w:rPr>
            </w:pPr>
            <w:r w:rsidRPr="00DE1332">
              <w:rPr>
                <w:rFonts w:ascii="Arial" w:hAnsi="Arial" w:cs="Arial"/>
                <w:sz w:val="20"/>
                <w:szCs w:val="20"/>
              </w:rPr>
              <w:t>Povećanje broja posudbe knjižne građe</w:t>
            </w:r>
          </w:p>
        </w:tc>
        <w:tc>
          <w:tcPr>
            <w:tcW w:w="1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5ACAB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32">
              <w:rPr>
                <w:rFonts w:ascii="Arial" w:hAnsi="Arial" w:cs="Arial"/>
                <w:sz w:val="20"/>
                <w:szCs w:val="20"/>
              </w:rPr>
              <w:t>Broj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FDEDCB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32">
              <w:rPr>
                <w:rFonts w:ascii="Arial" w:hAnsi="Arial" w:cs="Arial"/>
                <w:sz w:val="20"/>
                <w:szCs w:val="20"/>
              </w:rPr>
              <w:t>467.240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985E23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32">
              <w:rPr>
                <w:rFonts w:ascii="Arial" w:hAnsi="Arial" w:cs="Arial"/>
                <w:sz w:val="20"/>
                <w:szCs w:val="20"/>
              </w:rPr>
              <w:t>Ustanova</w:t>
            </w:r>
          </w:p>
        </w:tc>
        <w:tc>
          <w:tcPr>
            <w:tcW w:w="1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6032F1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32">
              <w:rPr>
                <w:rFonts w:ascii="Arial" w:hAnsi="Arial" w:cs="Arial"/>
                <w:sz w:val="20"/>
                <w:szCs w:val="20"/>
              </w:rPr>
              <w:t>500.000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8F134E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32">
              <w:rPr>
                <w:rFonts w:ascii="Arial" w:hAnsi="Arial" w:cs="Arial"/>
                <w:sz w:val="20"/>
                <w:szCs w:val="20"/>
              </w:rPr>
              <w:t>520.856</w:t>
            </w:r>
          </w:p>
        </w:tc>
      </w:tr>
    </w:tbl>
    <w:p w14:paraId="03C2D4F3" w14:textId="77777777" w:rsidR="00653740" w:rsidRPr="00DE1332" w:rsidRDefault="00653740" w:rsidP="00653740">
      <w:pPr>
        <w:shd w:val="clear" w:color="auto" w:fill="FFFFFF"/>
        <w:spacing w:line="253" w:lineRule="atLeast"/>
        <w:jc w:val="both"/>
        <w:rPr>
          <w:rFonts w:ascii="Arial" w:hAnsi="Arial" w:cs="Arial"/>
          <w:b/>
          <w:sz w:val="20"/>
          <w:szCs w:val="20"/>
        </w:rPr>
      </w:pPr>
    </w:p>
    <w:p w14:paraId="64701C82" w14:textId="77777777" w:rsidR="00653740" w:rsidRPr="00DE1332" w:rsidRDefault="00653740" w:rsidP="00653740">
      <w:pPr>
        <w:shd w:val="clear" w:color="auto" w:fill="FFFFFF"/>
        <w:spacing w:line="253" w:lineRule="atLeast"/>
        <w:jc w:val="both"/>
        <w:rPr>
          <w:rFonts w:ascii="Arial" w:hAnsi="Arial" w:cs="Arial"/>
          <w:b/>
          <w:sz w:val="20"/>
          <w:szCs w:val="20"/>
        </w:rPr>
      </w:pPr>
      <w:r w:rsidRPr="00DE1332">
        <w:rPr>
          <w:rFonts w:ascii="Arial" w:hAnsi="Arial" w:cs="Arial"/>
          <w:b/>
          <w:sz w:val="20"/>
          <w:szCs w:val="20"/>
        </w:rPr>
        <w:t xml:space="preserve">Cilj: minimalizirati smanjenje broja sudionika i posjetitelja </w:t>
      </w:r>
      <w:r w:rsidRPr="00DE1332">
        <w:rPr>
          <w:rFonts w:ascii="Arial" w:hAnsi="Arial" w:cs="Arial"/>
          <w:b/>
          <w:iCs/>
          <w:sz w:val="20"/>
          <w:szCs w:val="20"/>
        </w:rPr>
        <w:t>programa</w:t>
      </w:r>
      <w:r w:rsidRPr="00DE1332">
        <w:rPr>
          <w:rFonts w:ascii="Arial" w:hAnsi="Arial" w:cs="Arial"/>
          <w:b/>
          <w:sz w:val="20"/>
          <w:szCs w:val="20"/>
        </w:rPr>
        <w:t xml:space="preserve"> GKR-a</w:t>
      </w:r>
    </w:p>
    <w:tbl>
      <w:tblPr>
        <w:tblW w:w="8334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07"/>
        <w:gridCol w:w="1017"/>
        <w:gridCol w:w="1266"/>
        <w:gridCol w:w="1214"/>
        <w:gridCol w:w="1264"/>
        <w:gridCol w:w="1266"/>
      </w:tblGrid>
      <w:tr w:rsidR="00653740" w:rsidRPr="00DE1332" w14:paraId="74C4389E" w14:textId="77777777" w:rsidTr="005755DD">
        <w:trPr>
          <w:trHeight w:val="585"/>
        </w:trPr>
        <w:tc>
          <w:tcPr>
            <w:tcW w:w="2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0283D7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332">
              <w:rPr>
                <w:rFonts w:ascii="Arial" w:hAnsi="Arial" w:cs="Arial"/>
                <w:b/>
                <w:sz w:val="20"/>
                <w:szCs w:val="20"/>
              </w:rPr>
              <w:t>Pokazatelji rezultata</w:t>
            </w:r>
          </w:p>
        </w:tc>
        <w:tc>
          <w:tcPr>
            <w:tcW w:w="84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889610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332">
              <w:rPr>
                <w:rFonts w:ascii="Arial" w:hAnsi="Arial" w:cs="Arial"/>
                <w:b/>
                <w:sz w:val="20"/>
                <w:szCs w:val="20"/>
              </w:rPr>
              <w:t>Jedinica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E2D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332">
              <w:rPr>
                <w:rFonts w:ascii="Arial" w:hAnsi="Arial" w:cs="Arial"/>
                <w:b/>
                <w:sz w:val="20"/>
                <w:szCs w:val="20"/>
              </w:rPr>
              <w:t>Ostvarena vrijednost 2023</w:t>
            </w:r>
          </w:p>
        </w:tc>
        <w:tc>
          <w:tcPr>
            <w:tcW w:w="122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19A070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332">
              <w:rPr>
                <w:rFonts w:ascii="Arial" w:hAnsi="Arial" w:cs="Arial"/>
                <w:b/>
                <w:sz w:val="20"/>
                <w:szCs w:val="20"/>
              </w:rPr>
              <w:t>Izvor podataka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2CA53A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332">
              <w:rPr>
                <w:rFonts w:ascii="Arial" w:hAnsi="Arial" w:cs="Arial"/>
                <w:b/>
                <w:sz w:val="20"/>
                <w:szCs w:val="20"/>
              </w:rPr>
              <w:t>Planirana vrijednost 2024.</w:t>
            </w:r>
          </w:p>
        </w:tc>
        <w:tc>
          <w:tcPr>
            <w:tcW w:w="1275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CB9948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E1332">
              <w:rPr>
                <w:rFonts w:ascii="Arial" w:hAnsi="Arial" w:cs="Arial"/>
                <w:b/>
                <w:sz w:val="20"/>
                <w:szCs w:val="20"/>
              </w:rPr>
              <w:t>Ostvarena vrijednost  2024.</w:t>
            </w:r>
          </w:p>
        </w:tc>
      </w:tr>
      <w:tr w:rsidR="00653740" w:rsidRPr="00DE1332" w14:paraId="23376D9E" w14:textId="77777777" w:rsidTr="005755DD">
        <w:trPr>
          <w:trHeight w:val="669"/>
        </w:trPr>
        <w:tc>
          <w:tcPr>
            <w:tcW w:w="2436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D00F5" w14:textId="77777777" w:rsidR="00653740" w:rsidRPr="00DE1332" w:rsidRDefault="00653740" w:rsidP="005755DD">
            <w:pPr>
              <w:spacing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E1332">
              <w:rPr>
                <w:rFonts w:ascii="Arial" w:hAnsi="Arial" w:cs="Arial"/>
                <w:sz w:val="20"/>
                <w:szCs w:val="20"/>
              </w:rPr>
              <w:t>Povećanje broja sudionika i posjetitelja programa</w:t>
            </w:r>
          </w:p>
        </w:tc>
        <w:tc>
          <w:tcPr>
            <w:tcW w:w="84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A7EB6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32">
              <w:rPr>
                <w:rFonts w:ascii="Arial" w:hAnsi="Arial" w:cs="Arial"/>
                <w:sz w:val="20"/>
                <w:szCs w:val="20"/>
              </w:rPr>
              <w:t>Broj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3BDF70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32">
              <w:rPr>
                <w:rFonts w:ascii="Arial" w:hAnsi="Arial" w:cs="Arial"/>
                <w:sz w:val="20"/>
                <w:szCs w:val="20"/>
              </w:rPr>
              <w:t>34.376</w:t>
            </w:r>
          </w:p>
        </w:tc>
        <w:tc>
          <w:tcPr>
            <w:tcW w:w="1228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F7A4ED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32">
              <w:rPr>
                <w:rFonts w:ascii="Arial" w:hAnsi="Arial" w:cs="Arial"/>
                <w:sz w:val="20"/>
                <w:szCs w:val="20"/>
              </w:rPr>
              <w:t>Ustanova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7EFEC0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32">
              <w:rPr>
                <w:rFonts w:ascii="Arial" w:hAnsi="Arial" w:cs="Arial"/>
                <w:sz w:val="20"/>
                <w:szCs w:val="20"/>
              </w:rPr>
              <w:t>13.000</w:t>
            </w:r>
          </w:p>
        </w:tc>
        <w:tc>
          <w:tcPr>
            <w:tcW w:w="1275" w:type="dxa"/>
            <w:tcBorders>
              <w:top w:val="nil"/>
              <w:left w:val="nil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FFDFBE" w14:textId="77777777" w:rsidR="00653740" w:rsidRPr="00DE1332" w:rsidRDefault="00653740" w:rsidP="005755DD">
            <w:pPr>
              <w:spacing w:line="25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E1332">
              <w:rPr>
                <w:rFonts w:ascii="Arial" w:hAnsi="Arial" w:cs="Arial"/>
                <w:sz w:val="20"/>
                <w:szCs w:val="20"/>
              </w:rPr>
              <w:t>41.381</w:t>
            </w:r>
          </w:p>
        </w:tc>
      </w:tr>
    </w:tbl>
    <w:p w14:paraId="6D4B9808" w14:textId="77777777" w:rsidR="00B02C74" w:rsidRDefault="00B02C74">
      <w:pPr>
        <w:rPr>
          <w:rFonts w:ascii="Arial" w:hAnsi="Arial" w:cs="Arial"/>
          <w:sz w:val="24"/>
          <w:szCs w:val="24"/>
        </w:rPr>
      </w:pPr>
    </w:p>
    <w:p w14:paraId="642B89CF" w14:textId="77777777" w:rsidR="0057355D" w:rsidRDefault="0057355D" w:rsidP="0057355D">
      <w:pPr>
        <w:pStyle w:val="t-9-8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Ustanova nema investicijskih kapitalnih projekata</w:t>
      </w:r>
    </w:p>
    <w:p w14:paraId="06AC116C" w14:textId="67EEF724" w:rsidR="008C4317" w:rsidRPr="0057355D" w:rsidRDefault="001757B8" w:rsidP="0057355D">
      <w:pPr>
        <w:pStyle w:val="t-9-8"/>
        <w:numPr>
          <w:ilvl w:val="0"/>
          <w:numId w:val="2"/>
        </w:numPr>
        <w:tabs>
          <w:tab w:val="left" w:pos="284"/>
        </w:tabs>
        <w:spacing w:before="0" w:beforeAutospacing="0" w:after="0" w:afterAutospacing="0"/>
        <w:ind w:left="0"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>Obraz</w:t>
      </w:r>
      <w:r w:rsidR="008C4317" w:rsidRPr="0057355D">
        <w:rPr>
          <w:rFonts w:ascii="Arial" w:hAnsi="Arial" w:cs="Arial"/>
        </w:rPr>
        <w:t>a</w:t>
      </w:r>
      <w:r>
        <w:rPr>
          <w:rFonts w:ascii="Arial" w:hAnsi="Arial" w:cs="Arial"/>
        </w:rPr>
        <w:t>c</w:t>
      </w:r>
      <w:r w:rsidR="008C4317" w:rsidRPr="0057355D">
        <w:rPr>
          <w:rFonts w:ascii="Arial" w:hAnsi="Arial" w:cs="Arial"/>
        </w:rPr>
        <w:t xml:space="preserve"> 3</w:t>
      </w:r>
      <w:r w:rsidR="00B44582">
        <w:rPr>
          <w:rFonts w:ascii="Arial" w:hAnsi="Arial" w:cs="Arial"/>
        </w:rPr>
        <w:t>.</w:t>
      </w:r>
      <w:r w:rsidR="008C4317" w:rsidRPr="0057355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Izvještaj o stanju potraživanja i dospjelih obveza te o stanju potencijalnih obveza po osnovi sudskih sporova </w:t>
      </w:r>
      <w:r w:rsidR="00B44582">
        <w:rPr>
          <w:rFonts w:ascii="Arial" w:hAnsi="Arial" w:cs="Arial"/>
        </w:rPr>
        <w:t xml:space="preserve"> :</w:t>
      </w:r>
      <w:r w:rsidR="008C4317" w:rsidRPr="0057355D">
        <w:rPr>
          <w:rFonts w:ascii="Arial" w:hAnsi="Arial" w:cs="Arial"/>
        </w:rPr>
        <w:t xml:space="preserve"> </w:t>
      </w:r>
    </w:p>
    <w:p w14:paraId="020AF950" w14:textId="77777777" w:rsidR="0057355D" w:rsidRPr="0057355D" w:rsidRDefault="0057355D" w:rsidP="0057355D">
      <w:pPr>
        <w:pStyle w:val="t-9-8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57355D">
        <w:rPr>
          <w:rFonts w:ascii="Arial" w:hAnsi="Arial" w:cs="Arial"/>
        </w:rPr>
        <w:t xml:space="preserve">Stanje nenaplaćenih potraživanja na dan 31.12.2024.g. je  </w:t>
      </w:r>
      <w:r w:rsidRPr="0057355D">
        <w:rPr>
          <w:rFonts w:ascii="Arial" w:hAnsi="Arial" w:cs="Arial"/>
          <w:lang w:eastAsia="hr-HR"/>
        </w:rPr>
        <w:t>15.711,48 eura. Do dana pisanje ovog izvještaja ostalo je nenaplaćeno 199,08 eura.</w:t>
      </w:r>
    </w:p>
    <w:p w14:paraId="73F8A882" w14:textId="77777777" w:rsidR="0057355D" w:rsidRPr="0057355D" w:rsidRDefault="0057355D" w:rsidP="0057355D">
      <w:pPr>
        <w:pStyle w:val="t-9-8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57355D">
        <w:rPr>
          <w:rFonts w:ascii="Arial" w:hAnsi="Arial" w:cs="Arial"/>
        </w:rPr>
        <w:t xml:space="preserve">Ustanova u 2024.g. nema sudskih sporova u tijeku . </w:t>
      </w:r>
    </w:p>
    <w:p w14:paraId="58B6E87F" w14:textId="77777777" w:rsidR="0057355D" w:rsidRPr="0057355D" w:rsidRDefault="0057355D" w:rsidP="0057355D">
      <w:pPr>
        <w:pStyle w:val="t-9-8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57355D">
        <w:rPr>
          <w:rFonts w:ascii="Arial" w:hAnsi="Arial" w:cs="Arial"/>
        </w:rPr>
        <w:t>Na dan 31.12.2024.g. stanje dospjelih obveza Ustanove je 17.303,45 eura</w:t>
      </w:r>
    </w:p>
    <w:p w14:paraId="06059003" w14:textId="7C022866" w:rsidR="0057355D" w:rsidRPr="0057355D" w:rsidRDefault="0057355D" w:rsidP="0057355D">
      <w:pPr>
        <w:pStyle w:val="t-9-8"/>
        <w:numPr>
          <w:ilvl w:val="0"/>
          <w:numId w:val="4"/>
        </w:numPr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</w:rPr>
      </w:pPr>
      <w:r w:rsidRPr="0057355D">
        <w:rPr>
          <w:rFonts w:ascii="Arial" w:hAnsi="Arial" w:cs="Arial"/>
        </w:rPr>
        <w:t>Stanje novčanih sredstava 2024.g.</w:t>
      </w:r>
      <w:r>
        <w:rPr>
          <w:rFonts w:ascii="Arial" w:hAnsi="Arial" w:cs="Arial"/>
        </w:rPr>
        <w:t xml:space="preserve"> </w:t>
      </w:r>
      <w:r w:rsidRPr="0057355D">
        <w:rPr>
          <w:rFonts w:ascii="Arial" w:hAnsi="Arial" w:cs="Arial"/>
        </w:rPr>
        <w:t>:</w:t>
      </w:r>
    </w:p>
    <w:tbl>
      <w:tblPr>
        <w:tblW w:w="9634" w:type="dxa"/>
        <w:tblInd w:w="113" w:type="dxa"/>
        <w:tblLook w:val="04A0" w:firstRow="1" w:lastRow="0" w:firstColumn="1" w:lastColumn="0" w:noHBand="0" w:noVBand="1"/>
      </w:tblPr>
      <w:tblGrid>
        <w:gridCol w:w="940"/>
        <w:gridCol w:w="2628"/>
        <w:gridCol w:w="2268"/>
        <w:gridCol w:w="1843"/>
        <w:gridCol w:w="1955"/>
      </w:tblGrid>
      <w:tr w:rsidR="0057355D" w:rsidRPr="002712A7" w14:paraId="68BF581E" w14:textId="77777777" w:rsidTr="0057355D">
        <w:trPr>
          <w:trHeight w:val="288"/>
        </w:trPr>
        <w:tc>
          <w:tcPr>
            <w:tcW w:w="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727778" w14:textId="77777777" w:rsidR="0057355D" w:rsidRPr="0057355D" w:rsidRDefault="0057355D" w:rsidP="0087266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5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Šifra :</w:t>
            </w:r>
          </w:p>
        </w:tc>
        <w:tc>
          <w:tcPr>
            <w:tcW w:w="26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5DE8CC" w14:textId="77777777" w:rsidR="0057355D" w:rsidRPr="0057355D" w:rsidRDefault="0057355D" w:rsidP="0057355D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5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Opis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B8A869" w14:textId="77777777" w:rsidR="0057355D" w:rsidRPr="0057355D" w:rsidRDefault="0057355D" w:rsidP="0087266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5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Stanje 1.siječnja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196DE" w14:textId="77777777" w:rsidR="0057355D" w:rsidRPr="0057355D" w:rsidRDefault="0057355D" w:rsidP="0087266E">
            <w:pPr>
              <w:spacing w:after="0" w:line="240" w:lineRule="auto"/>
              <w:jc w:val="right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5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Stanje 31.prosinca</w:t>
            </w:r>
          </w:p>
        </w:tc>
        <w:tc>
          <w:tcPr>
            <w:tcW w:w="1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58A82" w14:textId="77777777" w:rsidR="0057355D" w:rsidRPr="0057355D" w:rsidRDefault="0057355D" w:rsidP="00872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5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Indeks</w:t>
            </w:r>
          </w:p>
        </w:tc>
      </w:tr>
      <w:tr w:rsidR="0057355D" w:rsidRPr="002712A7" w14:paraId="4E9E7930" w14:textId="77777777" w:rsidTr="0057355D">
        <w:trPr>
          <w:trHeight w:val="288"/>
        </w:trPr>
        <w:tc>
          <w:tcPr>
            <w:tcW w:w="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46E43" w14:textId="77777777" w:rsidR="0057355D" w:rsidRPr="0057355D" w:rsidRDefault="0057355D" w:rsidP="0087266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6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6C161" w14:textId="77777777" w:rsidR="0057355D" w:rsidRPr="0057355D" w:rsidRDefault="0057355D" w:rsidP="0087266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57331" w14:textId="77777777" w:rsidR="0057355D" w:rsidRPr="0057355D" w:rsidRDefault="0057355D" w:rsidP="0087266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B0E72E" w14:textId="77777777" w:rsidR="0057355D" w:rsidRPr="0057355D" w:rsidRDefault="0057355D" w:rsidP="0087266E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1BB62" w14:textId="77777777" w:rsidR="0057355D" w:rsidRPr="0057355D" w:rsidRDefault="0057355D" w:rsidP="0087266E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</w:pPr>
            <w:r w:rsidRPr="0057355D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hr-HR"/>
              </w:rPr>
              <w:t>( 5/4)</w:t>
            </w:r>
          </w:p>
        </w:tc>
      </w:tr>
      <w:tr w:rsidR="0057355D" w:rsidRPr="002712A7" w14:paraId="6539F09B" w14:textId="77777777" w:rsidTr="0057355D">
        <w:trPr>
          <w:trHeight w:val="288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C176E" w14:textId="77777777" w:rsidR="0057355D" w:rsidRPr="002712A7" w:rsidRDefault="0057355D" w:rsidP="0087266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712A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3BAD80" w14:textId="77777777" w:rsidR="0057355D" w:rsidRPr="002712A7" w:rsidRDefault="0057355D" w:rsidP="0087266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712A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FFD5" w14:textId="77777777" w:rsidR="0057355D" w:rsidRPr="002712A7" w:rsidRDefault="0057355D" w:rsidP="0087266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712A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283CB" w14:textId="77777777" w:rsidR="0057355D" w:rsidRPr="002712A7" w:rsidRDefault="0057355D" w:rsidP="0087266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712A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5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6CE6C" w14:textId="77777777" w:rsidR="0057355D" w:rsidRPr="002712A7" w:rsidRDefault="0057355D" w:rsidP="0087266E">
            <w:pPr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hr-HR"/>
              </w:rPr>
            </w:pPr>
            <w:r w:rsidRPr="002712A7">
              <w:rPr>
                <w:rFonts w:ascii="Arial" w:hAnsi="Arial" w:cs="Arial"/>
                <w:i/>
                <w:iCs/>
                <w:color w:val="000000"/>
                <w:sz w:val="20"/>
                <w:szCs w:val="20"/>
                <w:lang w:eastAsia="hr-HR"/>
              </w:rPr>
              <w:t>6</w:t>
            </w:r>
          </w:p>
        </w:tc>
      </w:tr>
      <w:tr w:rsidR="0057355D" w:rsidRPr="002712A7" w14:paraId="20DC3573" w14:textId="77777777" w:rsidTr="0057355D">
        <w:trPr>
          <w:trHeight w:val="552"/>
        </w:trPr>
        <w:tc>
          <w:tcPr>
            <w:tcW w:w="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04F4F" w14:textId="77777777" w:rsidR="0057355D" w:rsidRPr="002712A7" w:rsidRDefault="0057355D" w:rsidP="0087266E">
            <w:pPr>
              <w:spacing w:after="0" w:line="240" w:lineRule="auto"/>
              <w:jc w:val="center"/>
              <w:rPr>
                <w:rFonts w:ascii="Arial" w:hAnsi="Arial" w:cs="Arial"/>
                <w:lang w:eastAsia="hr-HR"/>
              </w:rPr>
            </w:pPr>
            <w:r>
              <w:rPr>
                <w:rFonts w:ascii="Arial" w:hAnsi="Arial" w:cs="Arial"/>
                <w:lang w:eastAsia="hr-HR"/>
              </w:rPr>
              <w:t>11</w:t>
            </w:r>
          </w:p>
        </w:tc>
        <w:tc>
          <w:tcPr>
            <w:tcW w:w="26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7F8436" w14:textId="77777777" w:rsidR="0057355D" w:rsidRPr="00A476F8" w:rsidRDefault="0057355D" w:rsidP="0087266E">
            <w:pPr>
              <w:spacing w:after="0" w:line="240" w:lineRule="auto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76F8">
              <w:rPr>
                <w:rFonts w:ascii="Arial" w:hAnsi="Arial" w:cs="Arial"/>
                <w:sz w:val="20"/>
                <w:szCs w:val="20"/>
                <w:lang w:eastAsia="hr-HR"/>
              </w:rPr>
              <w:t>Novac u banci i blagajni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FFBE7E" w14:textId="77777777" w:rsidR="0057355D" w:rsidRPr="00A476F8" w:rsidRDefault="0057355D" w:rsidP="0087266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76F8">
              <w:rPr>
                <w:rFonts w:ascii="Arial" w:hAnsi="Arial" w:cs="Arial"/>
                <w:sz w:val="20"/>
                <w:szCs w:val="20"/>
              </w:rPr>
              <w:t>220,05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CE6D" w14:textId="77777777" w:rsidR="0057355D" w:rsidRPr="00A476F8" w:rsidRDefault="0057355D" w:rsidP="0087266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76F8">
              <w:rPr>
                <w:rFonts w:ascii="Arial" w:hAnsi="Arial" w:cs="Arial"/>
                <w:sz w:val="20"/>
                <w:szCs w:val="20"/>
              </w:rPr>
              <w:t>2.358,53</w:t>
            </w:r>
          </w:p>
        </w:tc>
        <w:tc>
          <w:tcPr>
            <w:tcW w:w="19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AFF98" w14:textId="77777777" w:rsidR="0057355D" w:rsidRPr="00A476F8" w:rsidRDefault="0057355D" w:rsidP="0087266E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  <w:lang w:eastAsia="hr-HR"/>
              </w:rPr>
            </w:pPr>
            <w:r w:rsidRPr="00A476F8">
              <w:rPr>
                <w:rFonts w:ascii="Arial" w:hAnsi="Arial" w:cs="Arial"/>
                <w:sz w:val="20"/>
                <w:szCs w:val="20"/>
                <w:lang w:eastAsia="hr-HR"/>
              </w:rPr>
              <w:t>1.071,81</w:t>
            </w:r>
          </w:p>
        </w:tc>
      </w:tr>
    </w:tbl>
    <w:p w14:paraId="3AFB3E57" w14:textId="153A5B1C" w:rsidR="0057355D" w:rsidRPr="00D336B4" w:rsidRDefault="0057355D" w:rsidP="0057355D">
      <w:pPr>
        <w:pStyle w:val="t-9-8"/>
        <w:tabs>
          <w:tab w:val="left" w:pos="284"/>
        </w:tabs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Stanje uključuje predujam primljen 30.12.2024. za prodaju starog bibliobusa.</w:t>
      </w:r>
    </w:p>
    <w:p w14:paraId="138C2AE0" w14:textId="539366F9" w:rsidR="0057355D" w:rsidRDefault="0057355D">
      <w:pPr>
        <w:rPr>
          <w:rFonts w:ascii="Arial" w:hAnsi="Arial" w:cs="Arial"/>
          <w:sz w:val="24"/>
          <w:szCs w:val="24"/>
        </w:rPr>
      </w:pPr>
    </w:p>
    <w:p w14:paraId="519B1C93" w14:textId="77777777" w:rsidR="008C4317" w:rsidRDefault="008C4317">
      <w:pPr>
        <w:rPr>
          <w:rFonts w:ascii="Arial" w:hAnsi="Arial" w:cs="Arial"/>
          <w:sz w:val="24"/>
          <w:szCs w:val="24"/>
        </w:rPr>
      </w:pPr>
    </w:p>
    <w:p w14:paraId="30DEA18D" w14:textId="77777777" w:rsidR="008C4317" w:rsidRDefault="008C4317">
      <w:pPr>
        <w:rPr>
          <w:rFonts w:ascii="Arial" w:hAnsi="Arial" w:cs="Arial"/>
          <w:sz w:val="24"/>
          <w:szCs w:val="24"/>
        </w:rPr>
      </w:pPr>
    </w:p>
    <w:p w14:paraId="5BB79677" w14:textId="77777777" w:rsidR="008C4317" w:rsidRDefault="008C4317">
      <w:pPr>
        <w:rPr>
          <w:rFonts w:ascii="Arial" w:hAnsi="Arial" w:cs="Arial"/>
          <w:sz w:val="24"/>
          <w:szCs w:val="24"/>
        </w:rPr>
      </w:pPr>
    </w:p>
    <w:p w14:paraId="247A319B" w14:textId="67E87403" w:rsidR="00FA6000" w:rsidRPr="00866FED" w:rsidRDefault="004D7E64">
      <w:pPr>
        <w:rPr>
          <w:rFonts w:ascii="Arial" w:hAnsi="Arial" w:cs="Arial"/>
          <w:sz w:val="24"/>
          <w:szCs w:val="24"/>
        </w:rPr>
      </w:pPr>
      <w:r w:rsidRPr="00866FED">
        <w:rPr>
          <w:rFonts w:ascii="Arial" w:hAnsi="Arial" w:cs="Arial"/>
          <w:sz w:val="24"/>
          <w:szCs w:val="24"/>
        </w:rPr>
        <w:tab/>
      </w:r>
      <w:r w:rsidRPr="00866FED">
        <w:rPr>
          <w:rFonts w:ascii="Arial" w:hAnsi="Arial" w:cs="Arial"/>
          <w:sz w:val="24"/>
          <w:szCs w:val="24"/>
        </w:rPr>
        <w:tab/>
      </w:r>
      <w:r w:rsidRPr="00866FED">
        <w:rPr>
          <w:rFonts w:ascii="Arial" w:hAnsi="Arial" w:cs="Arial"/>
          <w:sz w:val="24"/>
          <w:szCs w:val="24"/>
        </w:rPr>
        <w:tab/>
      </w:r>
      <w:r w:rsidRPr="00866FED">
        <w:rPr>
          <w:rFonts w:ascii="Arial" w:hAnsi="Arial" w:cs="Arial"/>
          <w:sz w:val="24"/>
          <w:szCs w:val="24"/>
        </w:rPr>
        <w:tab/>
      </w:r>
      <w:r w:rsidRPr="00866FED">
        <w:rPr>
          <w:rFonts w:ascii="Arial" w:hAnsi="Arial" w:cs="Arial"/>
          <w:sz w:val="24"/>
          <w:szCs w:val="24"/>
        </w:rPr>
        <w:tab/>
      </w:r>
      <w:r w:rsidRPr="00866FED">
        <w:rPr>
          <w:rFonts w:ascii="Arial" w:hAnsi="Arial" w:cs="Arial"/>
          <w:sz w:val="24"/>
          <w:szCs w:val="24"/>
        </w:rPr>
        <w:tab/>
      </w:r>
      <w:r w:rsidRPr="00866FED">
        <w:rPr>
          <w:rFonts w:ascii="Arial" w:hAnsi="Arial" w:cs="Arial"/>
          <w:sz w:val="24"/>
          <w:szCs w:val="24"/>
        </w:rPr>
        <w:tab/>
      </w:r>
      <w:r w:rsidRPr="00866FED">
        <w:rPr>
          <w:rFonts w:ascii="Arial" w:hAnsi="Arial" w:cs="Arial"/>
          <w:sz w:val="24"/>
          <w:szCs w:val="24"/>
        </w:rPr>
        <w:tab/>
        <w:t xml:space="preserve">Ravnatelj : </w:t>
      </w:r>
    </w:p>
    <w:p w14:paraId="5D5BD87B" w14:textId="55A3806D" w:rsidR="004D7E64" w:rsidRPr="00866FED" w:rsidRDefault="004D7E64">
      <w:pPr>
        <w:rPr>
          <w:rFonts w:ascii="Arial" w:hAnsi="Arial" w:cs="Arial"/>
          <w:sz w:val="24"/>
          <w:szCs w:val="24"/>
        </w:rPr>
      </w:pPr>
      <w:r w:rsidRPr="00866FED">
        <w:rPr>
          <w:rFonts w:ascii="Arial" w:hAnsi="Arial" w:cs="Arial"/>
          <w:sz w:val="24"/>
          <w:szCs w:val="24"/>
        </w:rPr>
        <w:tab/>
      </w:r>
      <w:r w:rsidRPr="00866FED">
        <w:rPr>
          <w:rFonts w:ascii="Arial" w:hAnsi="Arial" w:cs="Arial"/>
          <w:sz w:val="24"/>
          <w:szCs w:val="24"/>
        </w:rPr>
        <w:tab/>
      </w:r>
      <w:r w:rsidRPr="00866FED">
        <w:rPr>
          <w:rFonts w:ascii="Arial" w:hAnsi="Arial" w:cs="Arial"/>
          <w:sz w:val="24"/>
          <w:szCs w:val="24"/>
        </w:rPr>
        <w:tab/>
      </w:r>
      <w:r w:rsidRPr="00866FED">
        <w:rPr>
          <w:rFonts w:ascii="Arial" w:hAnsi="Arial" w:cs="Arial"/>
          <w:sz w:val="24"/>
          <w:szCs w:val="24"/>
        </w:rPr>
        <w:tab/>
      </w:r>
      <w:r w:rsidRPr="00866FED">
        <w:rPr>
          <w:rFonts w:ascii="Arial" w:hAnsi="Arial" w:cs="Arial"/>
          <w:sz w:val="24"/>
          <w:szCs w:val="24"/>
        </w:rPr>
        <w:tab/>
      </w:r>
      <w:r w:rsidRPr="00866FED">
        <w:rPr>
          <w:rFonts w:ascii="Arial" w:hAnsi="Arial" w:cs="Arial"/>
          <w:sz w:val="24"/>
          <w:szCs w:val="24"/>
        </w:rPr>
        <w:tab/>
      </w:r>
      <w:r w:rsidRPr="00866FED">
        <w:rPr>
          <w:rFonts w:ascii="Arial" w:hAnsi="Arial" w:cs="Arial"/>
          <w:sz w:val="24"/>
          <w:szCs w:val="24"/>
        </w:rPr>
        <w:tab/>
      </w:r>
      <w:r w:rsidRPr="00866FED">
        <w:rPr>
          <w:rFonts w:ascii="Arial" w:hAnsi="Arial" w:cs="Arial"/>
          <w:sz w:val="24"/>
          <w:szCs w:val="24"/>
        </w:rPr>
        <w:tab/>
        <w:t>Niko Cvjetković</w:t>
      </w:r>
    </w:p>
    <w:sectPr w:rsidR="004D7E64" w:rsidRPr="00866FED" w:rsidSect="0065518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6380C" w14:textId="77777777" w:rsidR="00BD5C6F" w:rsidRDefault="00BD5C6F" w:rsidP="00CF73E5">
      <w:pPr>
        <w:spacing w:after="0" w:line="240" w:lineRule="auto"/>
      </w:pPr>
      <w:r>
        <w:separator/>
      </w:r>
    </w:p>
  </w:endnote>
  <w:endnote w:type="continuationSeparator" w:id="0">
    <w:p w14:paraId="175774E4" w14:textId="77777777" w:rsidR="00BD5C6F" w:rsidRDefault="00BD5C6F" w:rsidP="00CF73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666772941"/>
      <w:docPartObj>
        <w:docPartGallery w:val="Page Numbers (Bottom of Page)"/>
        <w:docPartUnique/>
      </w:docPartObj>
    </w:sdtPr>
    <w:sdtContent>
      <w:p w14:paraId="58CEF01A" w14:textId="7C20F9D5" w:rsidR="00CF73E5" w:rsidRDefault="00CF73E5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FB67FE6" w14:textId="77777777" w:rsidR="00CF73E5" w:rsidRDefault="00CF73E5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C21616" w14:textId="77777777" w:rsidR="00BD5C6F" w:rsidRDefault="00BD5C6F" w:rsidP="00CF73E5">
      <w:pPr>
        <w:spacing w:after="0" w:line="240" w:lineRule="auto"/>
      </w:pPr>
      <w:r>
        <w:separator/>
      </w:r>
    </w:p>
  </w:footnote>
  <w:footnote w:type="continuationSeparator" w:id="0">
    <w:p w14:paraId="16C70A69" w14:textId="77777777" w:rsidR="00BD5C6F" w:rsidRDefault="00BD5C6F" w:rsidP="00CF73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7506F"/>
    <w:multiLevelType w:val="hybridMultilevel"/>
    <w:tmpl w:val="E19E1CA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F0E0B"/>
    <w:multiLevelType w:val="hybridMultilevel"/>
    <w:tmpl w:val="9AEE2FC6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08E5DB4"/>
    <w:multiLevelType w:val="hybridMultilevel"/>
    <w:tmpl w:val="A6442214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EE60ADB"/>
    <w:multiLevelType w:val="hybridMultilevel"/>
    <w:tmpl w:val="91B67F66"/>
    <w:lvl w:ilvl="0" w:tplc="6A5A93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527228">
    <w:abstractNumId w:val="3"/>
  </w:num>
  <w:num w:numId="2" w16cid:durableId="529690210">
    <w:abstractNumId w:val="1"/>
  </w:num>
  <w:num w:numId="3" w16cid:durableId="77021084">
    <w:abstractNumId w:val="2"/>
  </w:num>
  <w:num w:numId="4" w16cid:durableId="5298023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42B"/>
    <w:rsid w:val="0001516E"/>
    <w:rsid w:val="00025ACB"/>
    <w:rsid w:val="0003114E"/>
    <w:rsid w:val="00032BE1"/>
    <w:rsid w:val="00034385"/>
    <w:rsid w:val="00042854"/>
    <w:rsid w:val="00046EA0"/>
    <w:rsid w:val="000575C9"/>
    <w:rsid w:val="000739CE"/>
    <w:rsid w:val="0008696C"/>
    <w:rsid w:val="000A289D"/>
    <w:rsid w:val="000B53C0"/>
    <w:rsid w:val="000B68DB"/>
    <w:rsid w:val="000C401B"/>
    <w:rsid w:val="000C5B7D"/>
    <w:rsid w:val="00124E68"/>
    <w:rsid w:val="00142428"/>
    <w:rsid w:val="00142C7F"/>
    <w:rsid w:val="00143529"/>
    <w:rsid w:val="001457F8"/>
    <w:rsid w:val="00162E58"/>
    <w:rsid w:val="00167567"/>
    <w:rsid w:val="001757B8"/>
    <w:rsid w:val="001A2A27"/>
    <w:rsid w:val="001A73A3"/>
    <w:rsid w:val="001B085B"/>
    <w:rsid w:val="001C01C6"/>
    <w:rsid w:val="001C6316"/>
    <w:rsid w:val="001C6A78"/>
    <w:rsid w:val="001E4E56"/>
    <w:rsid w:val="00204C74"/>
    <w:rsid w:val="0021232C"/>
    <w:rsid w:val="00214D5D"/>
    <w:rsid w:val="00215C4F"/>
    <w:rsid w:val="002350D9"/>
    <w:rsid w:val="002562AB"/>
    <w:rsid w:val="002633F9"/>
    <w:rsid w:val="00272D78"/>
    <w:rsid w:val="00273AE2"/>
    <w:rsid w:val="002B5A8D"/>
    <w:rsid w:val="002B5BD2"/>
    <w:rsid w:val="002D5677"/>
    <w:rsid w:val="002E1344"/>
    <w:rsid w:val="0031166F"/>
    <w:rsid w:val="0031269F"/>
    <w:rsid w:val="00316086"/>
    <w:rsid w:val="003224A2"/>
    <w:rsid w:val="003227E8"/>
    <w:rsid w:val="0032642B"/>
    <w:rsid w:val="0032762C"/>
    <w:rsid w:val="003562B5"/>
    <w:rsid w:val="003564CB"/>
    <w:rsid w:val="00365329"/>
    <w:rsid w:val="00374AE5"/>
    <w:rsid w:val="003A7E32"/>
    <w:rsid w:val="003B06A4"/>
    <w:rsid w:val="003C6985"/>
    <w:rsid w:val="003D7D31"/>
    <w:rsid w:val="003E33B6"/>
    <w:rsid w:val="004055CD"/>
    <w:rsid w:val="004217E6"/>
    <w:rsid w:val="004609F1"/>
    <w:rsid w:val="0046785E"/>
    <w:rsid w:val="00474A38"/>
    <w:rsid w:val="004A7C47"/>
    <w:rsid w:val="004D7E64"/>
    <w:rsid w:val="004F640B"/>
    <w:rsid w:val="005003EE"/>
    <w:rsid w:val="00517DFC"/>
    <w:rsid w:val="00545F5E"/>
    <w:rsid w:val="0057355D"/>
    <w:rsid w:val="00587F63"/>
    <w:rsid w:val="005A6639"/>
    <w:rsid w:val="00611528"/>
    <w:rsid w:val="00622018"/>
    <w:rsid w:val="00640E85"/>
    <w:rsid w:val="006445C8"/>
    <w:rsid w:val="006523CA"/>
    <w:rsid w:val="00653740"/>
    <w:rsid w:val="0065518D"/>
    <w:rsid w:val="00667F8D"/>
    <w:rsid w:val="00680F7F"/>
    <w:rsid w:val="00684907"/>
    <w:rsid w:val="006855A5"/>
    <w:rsid w:val="006860FE"/>
    <w:rsid w:val="00686273"/>
    <w:rsid w:val="00686DAE"/>
    <w:rsid w:val="006A280D"/>
    <w:rsid w:val="006A736F"/>
    <w:rsid w:val="006B6B96"/>
    <w:rsid w:val="006C4E7F"/>
    <w:rsid w:val="006E5894"/>
    <w:rsid w:val="006F2550"/>
    <w:rsid w:val="006F260F"/>
    <w:rsid w:val="00705E7E"/>
    <w:rsid w:val="00712BE1"/>
    <w:rsid w:val="00725EAC"/>
    <w:rsid w:val="00726B4E"/>
    <w:rsid w:val="0074536B"/>
    <w:rsid w:val="007606D7"/>
    <w:rsid w:val="007818A7"/>
    <w:rsid w:val="0079303A"/>
    <w:rsid w:val="007A2C57"/>
    <w:rsid w:val="007B243F"/>
    <w:rsid w:val="00807358"/>
    <w:rsid w:val="00841FF9"/>
    <w:rsid w:val="0086430A"/>
    <w:rsid w:val="00866FED"/>
    <w:rsid w:val="008A50BE"/>
    <w:rsid w:val="008A6A2C"/>
    <w:rsid w:val="008B54D0"/>
    <w:rsid w:val="008C0A54"/>
    <w:rsid w:val="008C1287"/>
    <w:rsid w:val="008C417E"/>
    <w:rsid w:val="008C4317"/>
    <w:rsid w:val="008F31DD"/>
    <w:rsid w:val="009025F3"/>
    <w:rsid w:val="00941068"/>
    <w:rsid w:val="00961841"/>
    <w:rsid w:val="0096444A"/>
    <w:rsid w:val="00996BEB"/>
    <w:rsid w:val="009B40CD"/>
    <w:rsid w:val="009F08FF"/>
    <w:rsid w:val="00A008FA"/>
    <w:rsid w:val="00A00DCE"/>
    <w:rsid w:val="00A21FCB"/>
    <w:rsid w:val="00A50B83"/>
    <w:rsid w:val="00A621DC"/>
    <w:rsid w:val="00A81EC8"/>
    <w:rsid w:val="00A8526A"/>
    <w:rsid w:val="00AE0604"/>
    <w:rsid w:val="00AE0D3D"/>
    <w:rsid w:val="00B02C74"/>
    <w:rsid w:val="00B03A67"/>
    <w:rsid w:val="00B216B8"/>
    <w:rsid w:val="00B333FD"/>
    <w:rsid w:val="00B403C9"/>
    <w:rsid w:val="00B44582"/>
    <w:rsid w:val="00B53E22"/>
    <w:rsid w:val="00B56746"/>
    <w:rsid w:val="00B66948"/>
    <w:rsid w:val="00B7550D"/>
    <w:rsid w:val="00B832F7"/>
    <w:rsid w:val="00B84FB7"/>
    <w:rsid w:val="00B92F73"/>
    <w:rsid w:val="00B97477"/>
    <w:rsid w:val="00BC528D"/>
    <w:rsid w:val="00BD30C8"/>
    <w:rsid w:val="00BD4A01"/>
    <w:rsid w:val="00BD5C6F"/>
    <w:rsid w:val="00BE048B"/>
    <w:rsid w:val="00C12C5E"/>
    <w:rsid w:val="00C32BC4"/>
    <w:rsid w:val="00C56E0C"/>
    <w:rsid w:val="00C8267D"/>
    <w:rsid w:val="00C836FE"/>
    <w:rsid w:val="00C853AA"/>
    <w:rsid w:val="00C95E16"/>
    <w:rsid w:val="00CB1DA9"/>
    <w:rsid w:val="00CD78B7"/>
    <w:rsid w:val="00CE772A"/>
    <w:rsid w:val="00CF73E5"/>
    <w:rsid w:val="00D007F4"/>
    <w:rsid w:val="00D30143"/>
    <w:rsid w:val="00D302EB"/>
    <w:rsid w:val="00D32198"/>
    <w:rsid w:val="00D32DE7"/>
    <w:rsid w:val="00D35410"/>
    <w:rsid w:val="00D42D85"/>
    <w:rsid w:val="00D56FB9"/>
    <w:rsid w:val="00D626E8"/>
    <w:rsid w:val="00D634C6"/>
    <w:rsid w:val="00D74255"/>
    <w:rsid w:val="00D77CDF"/>
    <w:rsid w:val="00D82D13"/>
    <w:rsid w:val="00DB29E2"/>
    <w:rsid w:val="00DC5763"/>
    <w:rsid w:val="00DD1F87"/>
    <w:rsid w:val="00DE1332"/>
    <w:rsid w:val="00DE7BBB"/>
    <w:rsid w:val="00E04255"/>
    <w:rsid w:val="00E13E49"/>
    <w:rsid w:val="00E1652A"/>
    <w:rsid w:val="00E1706E"/>
    <w:rsid w:val="00E33D83"/>
    <w:rsid w:val="00E456E3"/>
    <w:rsid w:val="00E6621F"/>
    <w:rsid w:val="00E70E44"/>
    <w:rsid w:val="00E712DB"/>
    <w:rsid w:val="00E73293"/>
    <w:rsid w:val="00E94CFB"/>
    <w:rsid w:val="00EB2BE4"/>
    <w:rsid w:val="00EB3D25"/>
    <w:rsid w:val="00EC3757"/>
    <w:rsid w:val="00EE0B8E"/>
    <w:rsid w:val="00EE63EF"/>
    <w:rsid w:val="00F01D3D"/>
    <w:rsid w:val="00F14767"/>
    <w:rsid w:val="00F41ED7"/>
    <w:rsid w:val="00F75A72"/>
    <w:rsid w:val="00F865CD"/>
    <w:rsid w:val="00FA6000"/>
    <w:rsid w:val="00FE1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31D3F"/>
  <w15:chartTrackingRefBased/>
  <w15:docId w15:val="{EB8EA556-7E5D-4087-AD1B-75CCAE8334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ind w:left="357" w:hanging="357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42B"/>
    <w:pPr>
      <w:spacing w:after="160" w:line="259" w:lineRule="auto"/>
      <w:ind w:left="0" w:firstLine="0"/>
      <w:jc w:val="left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pisslike">
    <w:name w:val="caption"/>
    <w:basedOn w:val="Normal"/>
    <w:next w:val="Normal"/>
    <w:uiPriority w:val="35"/>
    <w:unhideWhenUsed/>
    <w:qFormat/>
    <w:rsid w:val="0032642B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Odlomakpopisa">
    <w:name w:val="List Paragraph"/>
    <w:basedOn w:val="Normal"/>
    <w:uiPriority w:val="34"/>
    <w:qFormat/>
    <w:rsid w:val="0032642B"/>
    <w:pPr>
      <w:ind w:left="720"/>
      <w:contextualSpacing/>
    </w:pPr>
  </w:style>
  <w:style w:type="paragraph" w:styleId="Bezproreda">
    <w:name w:val="No Spacing"/>
    <w:link w:val="BezproredaChar"/>
    <w:uiPriority w:val="99"/>
    <w:qFormat/>
    <w:rsid w:val="0001516E"/>
    <w:pPr>
      <w:ind w:left="0" w:firstLine="0"/>
      <w:jc w:val="left"/>
    </w:pPr>
    <w:rPr>
      <w:rFonts w:ascii="Times New Roman" w:eastAsia="Times New Roman" w:hAnsi="Times New Roman" w:cs="Times New Roman"/>
      <w:szCs w:val="20"/>
      <w:lang w:eastAsia="hr-HR"/>
    </w:rPr>
  </w:style>
  <w:style w:type="character" w:customStyle="1" w:styleId="BezproredaChar">
    <w:name w:val="Bez proreda Char"/>
    <w:link w:val="Bezproreda"/>
    <w:uiPriority w:val="99"/>
    <w:locked/>
    <w:rsid w:val="0001516E"/>
    <w:rPr>
      <w:rFonts w:ascii="Times New Roman" w:eastAsia="Times New Roman" w:hAnsi="Times New Roman" w:cs="Times New Roman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CF7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CF73E5"/>
  </w:style>
  <w:style w:type="paragraph" w:styleId="Podnoje">
    <w:name w:val="footer"/>
    <w:basedOn w:val="Normal"/>
    <w:link w:val="PodnojeChar"/>
    <w:uiPriority w:val="99"/>
    <w:unhideWhenUsed/>
    <w:rsid w:val="00CF73E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CF73E5"/>
  </w:style>
  <w:style w:type="paragraph" w:customStyle="1" w:styleId="doc">
    <w:name w:val="doc"/>
    <w:basedOn w:val="Normal"/>
    <w:rsid w:val="0057355D"/>
    <w:pPr>
      <w:spacing w:after="75" w:line="300" w:lineRule="atLeast"/>
      <w:jc w:val="both"/>
    </w:pPr>
    <w:rPr>
      <w:rFonts w:ascii="Arial" w:eastAsia="SimSun" w:hAnsi="Arial" w:cs="Arial"/>
      <w:sz w:val="20"/>
      <w:szCs w:val="20"/>
      <w:lang w:eastAsia="zh-CN"/>
    </w:rPr>
  </w:style>
  <w:style w:type="paragraph" w:customStyle="1" w:styleId="t-9-8">
    <w:name w:val="t-9-8"/>
    <w:basedOn w:val="Normal"/>
    <w:rsid w:val="0057355D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1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4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CC4418-C009-4B78-B4C5-2E918B430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3594</Words>
  <Characters>20486</Characters>
  <Application>Microsoft Office Word</Application>
  <DocSecurity>0</DocSecurity>
  <Lines>170</Lines>
  <Paragraphs>48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Uprava</dc:creator>
  <cp:keywords/>
  <dc:description/>
  <cp:lastModifiedBy>Služba administracije</cp:lastModifiedBy>
  <cp:revision>3</cp:revision>
  <cp:lastPrinted>2024-07-16T10:02:00Z</cp:lastPrinted>
  <dcterms:created xsi:type="dcterms:W3CDTF">2025-03-25T11:24:00Z</dcterms:created>
  <dcterms:modified xsi:type="dcterms:W3CDTF">2025-03-25T11:30:00Z</dcterms:modified>
</cp:coreProperties>
</file>